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8BF87"/>
    <w:p w14:paraId="4F9740F8">
      <w:pPr>
        <w:spacing w:line="360" w:lineRule="auto"/>
        <w:jc w:val="center"/>
        <w:rPr>
          <w:rFonts w:ascii="方正小标宋简体" w:eastAsia="方正小标宋简体"/>
          <w:sz w:val="44"/>
          <w:szCs w:val="44"/>
        </w:rPr>
      </w:pPr>
      <w:r>
        <w:rPr>
          <w:rFonts w:hint="eastAsia" w:ascii="方正小标宋简体" w:eastAsia="方正小标宋简体"/>
          <w:sz w:val="44"/>
          <w:szCs w:val="44"/>
        </w:rPr>
        <w:t>部门整体支出绩效自评报告</w:t>
      </w:r>
    </w:p>
    <w:p w14:paraId="4B72733B"/>
    <w:p w14:paraId="5E3B2E4B"/>
    <w:p w14:paraId="014AEA02"/>
    <w:p w14:paraId="7E7645A7"/>
    <w:p w14:paraId="7AD5373B">
      <w:pPr>
        <w:ind w:firstLine="1823" w:firstLineChars="592"/>
        <w:rPr>
          <w:rFonts w:hint="eastAsia" w:ascii="仿宋_GB2312"/>
          <w:lang w:val="en-US" w:eastAsia="zh-CN"/>
        </w:rPr>
      </w:pPr>
      <w:r>
        <w:rPr>
          <w:rFonts w:hint="eastAsia"/>
        </w:rPr>
        <w:t>部门名称（公章）：</w:t>
      </w:r>
      <w:r>
        <w:rPr>
          <w:rFonts w:hint="eastAsia" w:ascii="仿宋_GB2312"/>
          <w:lang w:val="en-US" w:eastAsia="zh-CN"/>
        </w:rPr>
        <w:t>林芝市总工会</w:t>
      </w:r>
    </w:p>
    <w:p w14:paraId="4FB3513B">
      <w:pPr>
        <w:ind w:firstLine="1823" w:firstLineChars="592"/>
        <w:rPr>
          <w:rFonts w:hint="default" w:eastAsia="仿宋_GB2312"/>
          <w:lang w:val="en-US" w:eastAsia="zh-CN"/>
        </w:rPr>
      </w:pPr>
      <w:r>
        <w:rPr>
          <w:rFonts w:hint="eastAsia"/>
        </w:rPr>
        <w:t>填报人姓名：</w:t>
      </w:r>
      <w:r>
        <w:rPr>
          <w:rFonts w:hint="eastAsia"/>
          <w:lang w:val="en-US" w:eastAsia="zh-CN"/>
        </w:rPr>
        <w:t xml:space="preserve">仁青卓玛 </w:t>
      </w:r>
    </w:p>
    <w:p w14:paraId="56494658">
      <w:pPr>
        <w:ind w:firstLine="1823" w:firstLineChars="592"/>
        <w:rPr>
          <w:rFonts w:hint="default" w:eastAsia="仿宋_GB2312"/>
          <w:lang w:val="en-US" w:eastAsia="zh-CN"/>
        </w:rPr>
      </w:pPr>
      <w:r>
        <w:rPr>
          <w:rFonts w:hint="eastAsia"/>
        </w:rPr>
        <w:t>联系电话：</w:t>
      </w:r>
      <w:r>
        <w:rPr>
          <w:rFonts w:hint="eastAsia"/>
          <w:lang w:val="en-US" w:eastAsia="zh-CN"/>
        </w:rPr>
        <w:t>15959271976</w:t>
      </w:r>
    </w:p>
    <w:p w14:paraId="50AF317F">
      <w:pPr>
        <w:ind w:firstLine="1823" w:firstLineChars="592"/>
        <w:rPr>
          <w:rFonts w:hint="default" w:eastAsia="仿宋_GB2312"/>
          <w:lang w:val="en-US" w:eastAsia="zh-CN"/>
        </w:rPr>
      </w:pPr>
      <w:r>
        <w:rPr>
          <w:rFonts w:hint="eastAsia"/>
        </w:rPr>
        <w:t>填报日期：</w:t>
      </w:r>
      <w:r>
        <w:rPr>
          <w:rFonts w:hint="eastAsia"/>
          <w:lang w:val="en-US" w:eastAsia="zh-CN"/>
        </w:rPr>
        <w:t>2025.5.12</w:t>
      </w:r>
    </w:p>
    <w:p w14:paraId="4A731F0A"/>
    <w:p w14:paraId="5F94FB47"/>
    <w:p w14:paraId="0FE46DBE"/>
    <w:p w14:paraId="14DDE993"/>
    <w:p w14:paraId="7408AA2F">
      <w:pPr>
        <w:rPr>
          <w:rFonts w:hint="eastAsia"/>
        </w:rPr>
      </w:pPr>
      <w:r>
        <w:rPr>
          <w:rFonts w:hint="eastAsia"/>
        </w:rPr>
        <w:t xml:space="preserve">                    </w:t>
      </w:r>
    </w:p>
    <w:p w14:paraId="593B168F">
      <w:pPr>
        <w:rPr>
          <w:rFonts w:hint="eastAsia"/>
        </w:rPr>
      </w:pPr>
    </w:p>
    <w:p w14:paraId="22DF9521">
      <w:pPr>
        <w:rPr>
          <w:rFonts w:hint="eastAsia"/>
        </w:rPr>
      </w:pPr>
    </w:p>
    <w:p w14:paraId="3A933108">
      <w:pPr>
        <w:rPr>
          <w:rFonts w:hint="eastAsia"/>
        </w:rPr>
      </w:pPr>
    </w:p>
    <w:p w14:paraId="6E4FFD76">
      <w:pPr>
        <w:rPr>
          <w:rFonts w:hint="eastAsia"/>
        </w:rPr>
      </w:pPr>
    </w:p>
    <w:p w14:paraId="053039AF">
      <w:pPr>
        <w:rPr>
          <w:rFonts w:hint="eastAsia"/>
        </w:rPr>
      </w:pPr>
    </w:p>
    <w:p w14:paraId="1426DC46">
      <w:pPr>
        <w:rPr>
          <w:rFonts w:hint="eastAsia"/>
        </w:rPr>
      </w:pPr>
    </w:p>
    <w:p w14:paraId="2FC1C275">
      <w:pPr>
        <w:jc w:val="center"/>
      </w:pPr>
      <w:r>
        <w:rPr>
          <w:rFonts w:hint="eastAsia"/>
          <w:lang w:val="en-US" w:eastAsia="zh-CN"/>
        </w:rPr>
        <w:t>林芝</w:t>
      </w:r>
      <w:r>
        <w:rPr>
          <w:rFonts w:hint="eastAsia"/>
        </w:rPr>
        <w:t>市财政局制</w:t>
      </w:r>
    </w:p>
    <w:p w14:paraId="0A99E4FE">
      <w:r>
        <w:rPr>
          <w:rFonts w:hint="eastAsia"/>
        </w:rPr>
        <w:t xml:space="preserve">                         202</w:t>
      </w:r>
      <w:r>
        <w:rPr>
          <w:rFonts w:hint="eastAsia"/>
          <w:lang w:val="en-US" w:eastAsia="zh-CN"/>
        </w:rPr>
        <w:t>5</w:t>
      </w:r>
      <w:r>
        <w:rPr>
          <w:rFonts w:hint="eastAsia"/>
        </w:rPr>
        <w:t>年</w:t>
      </w:r>
    </w:p>
    <w:p w14:paraId="2984E36A">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ascii="方正小标宋简体" w:eastAsia="方正小标宋简体"/>
        </w:rPr>
      </w:pPr>
      <w:bookmarkStart w:id="0" w:name="_Toc28838"/>
      <w:bookmarkStart w:id="1" w:name="_Toc8021_WPSOffice_Level2"/>
      <w:r>
        <w:rPr>
          <w:rFonts w:hint="eastAsia" w:ascii="方正小标宋简体" w:eastAsia="方正小标宋简体"/>
        </w:rPr>
        <w:t>一、部门基本情况</w:t>
      </w:r>
      <w:bookmarkEnd w:id="0"/>
    </w:p>
    <w:bookmarkEnd w:id="1"/>
    <w:p w14:paraId="4E8C9766">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ascii="楷体_GB2312" w:eastAsia="楷体_GB2312"/>
          <w:b/>
          <w:bCs/>
          <w:szCs w:val="32"/>
        </w:rPr>
      </w:pPr>
      <w:bookmarkStart w:id="2" w:name="_Toc5988_WPSOffice_Level3"/>
      <w:bookmarkStart w:id="3" w:name="_Toc30104"/>
      <w:bookmarkStart w:id="4" w:name="_Toc23683"/>
      <w:r>
        <w:rPr>
          <w:rFonts w:hint="eastAsia" w:ascii="楷体_GB2312" w:eastAsia="楷体_GB2312"/>
          <w:b/>
          <w:bCs/>
          <w:szCs w:val="32"/>
        </w:rPr>
        <w:t>（一）部门整体概况</w:t>
      </w:r>
      <w:bookmarkEnd w:id="2"/>
      <w:bookmarkEnd w:id="3"/>
      <w:bookmarkEnd w:id="4"/>
      <w:bookmarkStart w:id="5" w:name="_Toc18779"/>
    </w:p>
    <w:p w14:paraId="71B02B8E">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bCs/>
          <w:szCs w:val="32"/>
        </w:rPr>
      </w:pPr>
      <w:r>
        <w:rPr>
          <w:rFonts w:hint="eastAsia" w:ascii="仿宋_GB2312" w:hAnsi="仿宋_GB2312" w:cs="仿宋_GB2312"/>
          <w:bCs/>
          <w:szCs w:val="32"/>
          <w:lang w:val="en-US" w:eastAsia="zh-CN"/>
        </w:rPr>
        <w:t>1.</w:t>
      </w:r>
      <w:r>
        <w:rPr>
          <w:rFonts w:hint="eastAsia" w:ascii="仿宋_GB2312" w:hAnsi="仿宋_GB2312" w:cs="仿宋_GB2312"/>
          <w:bCs/>
          <w:szCs w:val="32"/>
        </w:rPr>
        <w:t>部门职能</w:t>
      </w:r>
      <w:bookmarkEnd w:id="5"/>
      <w:r>
        <w:rPr>
          <w:rFonts w:hint="eastAsia" w:ascii="仿宋_GB2312" w:hAnsi="仿宋_GB2312" w:cs="仿宋_GB2312"/>
          <w:bCs/>
          <w:szCs w:val="32"/>
          <w:lang w:eastAsia="zh-CN"/>
        </w:rPr>
        <w:t>：</w:t>
      </w:r>
      <w:r>
        <w:rPr>
          <w:rFonts w:hint="eastAsia" w:ascii="仿宋_GB2312" w:hAnsi="仿宋" w:eastAsia="仿宋_GB2312" w:cs="Times New Roman"/>
          <w:kern w:val="2"/>
          <w:sz w:val="32"/>
          <w:szCs w:val="32"/>
          <w:lang w:val="en-US" w:eastAsia="zh-CN" w:bidi="ar-SA"/>
        </w:rPr>
        <w:t>市总工会负责贯彻落实党中央关于工会工作的方针政策、自治区党委的决策部署和市委的工作要求，把坚持党对工会工作的领导落实到履行职责过程中，聚焦“四件大事”聚力“四个创建”，锚定推动林芝高质量发展、促进改革开放先行目标，有效发挥党联系职工群众的桥梁纽带作用，组织动员各族职工群众积极投身稳定、发展、生态、强边实践。</w:t>
      </w:r>
    </w:p>
    <w:p w14:paraId="39DA62A6">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_GB2312" w:cs="仿宋_GB2312"/>
          <w:bCs/>
          <w:szCs w:val="32"/>
          <w:lang w:val="en-US" w:eastAsia="zh-CN"/>
        </w:rPr>
        <w:t>2.</w:t>
      </w:r>
      <w:r>
        <w:rPr>
          <w:rFonts w:hint="eastAsia" w:ascii="仿宋_GB2312" w:hAnsi="仿宋_GB2312" w:cs="仿宋_GB2312"/>
          <w:bCs/>
          <w:szCs w:val="32"/>
        </w:rPr>
        <w:t>内设机构构成</w:t>
      </w:r>
      <w:r>
        <w:rPr>
          <w:rFonts w:hint="eastAsia" w:ascii="仿宋_GB2312" w:hAnsi="仿宋_GB2312" w:cs="仿宋_GB2312"/>
          <w:bCs/>
          <w:szCs w:val="32"/>
          <w:lang w:val="en-US" w:eastAsia="zh-CN"/>
        </w:rPr>
        <w:t>：</w:t>
      </w:r>
      <w:r>
        <w:rPr>
          <w:rFonts w:hint="eastAsia" w:ascii="仿宋_GB2312" w:hAnsi="仿宋" w:eastAsia="仿宋_GB2312" w:cs="Times New Roman"/>
          <w:kern w:val="2"/>
          <w:sz w:val="32"/>
          <w:szCs w:val="32"/>
          <w:lang w:val="en-US" w:eastAsia="zh-CN" w:bidi="ar-SA"/>
        </w:rPr>
        <w:t>办公室（政工人事科、财务和资产管理部）</w:t>
      </w:r>
      <w:r>
        <w:rPr>
          <w:rFonts w:hint="eastAsia" w:ascii="仿宋_GB2312" w:hAnsi="仿宋"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劳动经济和宣教网络部（女职工部）</w:t>
      </w:r>
      <w:r>
        <w:rPr>
          <w:rFonts w:hint="eastAsia" w:ascii="仿宋_GB2312" w:hAnsi="仿宋"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基层工作和法律保障部（经费审查委员会办公室)。</w:t>
      </w:r>
    </w:p>
    <w:p w14:paraId="32CACB91">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ascii="楷体_GB2312" w:eastAsia="楷体_GB2312"/>
          <w:b/>
          <w:bCs/>
          <w:szCs w:val="32"/>
        </w:rPr>
      </w:pPr>
      <w:bookmarkStart w:id="6" w:name="_Toc25996"/>
      <w:bookmarkStart w:id="7" w:name="_Toc14936_WPSOffice_Level2"/>
      <w:r>
        <w:rPr>
          <w:rFonts w:hint="eastAsia" w:ascii="楷体_GB2312" w:eastAsia="楷体_GB2312"/>
          <w:b/>
          <w:bCs/>
          <w:szCs w:val="32"/>
        </w:rPr>
        <w:t>（二）年度总体工作和重点工作任务</w:t>
      </w:r>
      <w:bookmarkEnd w:id="6"/>
      <w:bookmarkEnd w:id="7"/>
    </w:p>
    <w:p w14:paraId="2863204B">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eastAsia="仿宋_GB2312" w:cs="仿宋_GB2312"/>
          <w:b w:val="0"/>
          <w:bCs w:val="0"/>
          <w:color w:val="000000"/>
          <w:sz w:val="32"/>
          <w:szCs w:val="32"/>
          <w:lang w:val="en-US" w:eastAsia="zh-CN"/>
        </w:rPr>
      </w:pPr>
      <w:bookmarkStart w:id="8" w:name="_Toc8086"/>
      <w:bookmarkStart w:id="9" w:name="_Toc28424_WPSOffice_Level2"/>
      <w:r>
        <w:rPr>
          <w:rFonts w:hint="eastAsia" w:ascii="仿宋_GB2312" w:hAnsi="仿宋_GB2312" w:eastAsia="仿宋_GB2312" w:cs="仿宋_GB2312"/>
          <w:b w:val="0"/>
          <w:bCs w:val="0"/>
          <w:color w:val="000000"/>
          <w:sz w:val="32"/>
          <w:szCs w:val="32"/>
          <w:lang w:eastAsia="zh-CN"/>
        </w:rPr>
        <w:t>坚持以习近平新时代中国特色社会主义思想为指导，深入学习贯彻落实党的二十大精神，学习贯彻习近平总书记关于工人阶级和工会工作的重要论述、西藏工作的重要指示和新时代党的治藏方略，特别是同全总新一届领导班子集体谈话时的重要讲话精神，坚持以铸牢中华民族共同体意识为主线，全面落实中央书记处听取群团组织工作汇报后重要指示精神，全面落实中国工会十八大和全总十八届二次执委会精神，全面落实自治区第十次党代会及十届区党委历次全会特别是王君正书记关于西藏工会工作指示批示精神，全面落实西藏工会十一大和区总十一届三次全委会议精神，按照全总“559”统一部署和区总“</w:t>
      </w:r>
      <w:r>
        <w:rPr>
          <w:rFonts w:hint="eastAsia" w:ascii="仿宋_GB2312" w:hAnsi="仿宋_GB2312" w:eastAsia="仿宋_GB2312" w:cs="仿宋_GB2312"/>
          <w:b w:val="0"/>
          <w:bCs w:val="0"/>
          <w:color w:val="000000"/>
          <w:sz w:val="32"/>
          <w:szCs w:val="32"/>
          <w:lang w:val="en-US" w:eastAsia="zh-CN"/>
        </w:rPr>
        <w:t>2232</w:t>
      </w:r>
      <w:r>
        <w:rPr>
          <w:rFonts w:hint="eastAsia" w:ascii="仿宋_GB2312" w:hAnsi="仿宋_GB2312" w:eastAsia="仿宋_GB2312" w:cs="仿宋_GB2312"/>
          <w:b w:val="0"/>
          <w:bCs w:val="0"/>
          <w:color w:val="000000"/>
          <w:sz w:val="32"/>
          <w:szCs w:val="32"/>
          <w:lang w:eastAsia="zh-CN"/>
        </w:rPr>
        <w:t>”工作安排，聚焦“四件大事”，聚力“四个创建”“四个走在前列”，忠诚党的事业、竭诚服务职工，</w:t>
      </w:r>
      <w:r>
        <w:rPr>
          <w:rFonts w:hint="eastAsia" w:ascii="仿宋_GB2312" w:hAnsi="仿宋_GB2312" w:eastAsia="仿宋_GB2312" w:cs="仿宋_GB2312"/>
          <w:b w:val="0"/>
          <w:bCs w:val="0"/>
          <w:color w:val="000000"/>
          <w:sz w:val="32"/>
          <w:szCs w:val="32"/>
          <w:lang w:val="en-US" w:eastAsia="zh-CN"/>
        </w:rPr>
        <w:t>以工会组织有效覆盖、工作质效有力提升为目标，以工作成体系、实效树品牌为关键，持续推进工会工作体系化、服务化、品牌化、创新化，</w:t>
      </w:r>
      <w:r>
        <w:rPr>
          <w:rFonts w:hint="eastAsia" w:ascii="仿宋_GB2312" w:hAnsi="仿宋_GB2312" w:eastAsia="仿宋_GB2312" w:cs="仿宋_GB2312"/>
          <w:b w:val="0"/>
          <w:bCs w:val="0"/>
          <w:color w:val="000000"/>
          <w:sz w:val="32"/>
          <w:szCs w:val="32"/>
          <w:lang w:eastAsia="zh-CN"/>
        </w:rPr>
        <w:t>持续提高工会组织引领力、组织力、服务力、影响力、战斗力，进一步推动新时代林芝工运事业和工会工作高质量发展，团结引导各族职工群众为</w:t>
      </w:r>
      <w:r>
        <w:rPr>
          <w:rFonts w:hint="eastAsia" w:ascii="仿宋_GB2312" w:hAnsi="仿宋_GB2312" w:eastAsia="仿宋_GB2312" w:cs="仿宋_GB2312"/>
          <w:b w:val="0"/>
          <w:bCs w:val="0"/>
          <w:color w:val="000000"/>
          <w:sz w:val="32"/>
          <w:szCs w:val="32"/>
          <w:lang w:val="en-US" w:eastAsia="zh-CN"/>
        </w:rPr>
        <w:t>为林芝高质量发展、促进改革开放先行贡献工会力量。</w:t>
      </w:r>
    </w:p>
    <w:p w14:paraId="0B776B6F">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ascii="楷体_GB2312" w:eastAsia="楷体_GB2312"/>
          <w:b/>
          <w:bCs/>
          <w:szCs w:val="32"/>
        </w:rPr>
      </w:pPr>
      <w:bookmarkStart w:id="28" w:name="_GoBack"/>
      <w:bookmarkEnd w:id="28"/>
      <w:r>
        <w:rPr>
          <w:rFonts w:hint="eastAsia" w:ascii="楷体_GB2312" w:eastAsia="楷体_GB2312"/>
          <w:b/>
          <w:bCs/>
          <w:szCs w:val="32"/>
        </w:rPr>
        <w:t>（三）</w:t>
      </w:r>
      <w:bookmarkEnd w:id="8"/>
      <w:bookmarkEnd w:id="9"/>
      <w:r>
        <w:rPr>
          <w:rFonts w:hint="eastAsia" w:ascii="楷体_GB2312" w:eastAsia="楷体_GB2312"/>
          <w:b/>
          <w:bCs/>
          <w:szCs w:val="32"/>
        </w:rPr>
        <w:t>部门整体支出情况</w:t>
      </w:r>
    </w:p>
    <w:p w14:paraId="075125D7">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1.2024</w:t>
      </w:r>
      <w:r>
        <w:rPr>
          <w:rFonts w:hint="default" w:ascii="仿宋_GB2312" w:hAnsi="仿宋_GB2312" w:eastAsia="仿宋_GB2312" w:cs="仿宋_GB2312"/>
          <w:b w:val="0"/>
          <w:bCs w:val="0"/>
          <w:color w:val="000000"/>
          <w:sz w:val="32"/>
          <w:szCs w:val="32"/>
          <w:lang w:val="en-US" w:eastAsia="zh-CN"/>
        </w:rPr>
        <w:t>年度</w:t>
      </w:r>
      <w:r>
        <w:rPr>
          <w:rFonts w:hint="eastAsia" w:ascii="仿宋_GB2312" w:hAnsi="仿宋_GB2312" w:eastAsia="仿宋_GB2312" w:cs="仿宋_GB2312"/>
          <w:b w:val="0"/>
          <w:bCs w:val="0"/>
          <w:color w:val="000000"/>
          <w:sz w:val="32"/>
          <w:szCs w:val="32"/>
          <w:lang w:val="en-US" w:eastAsia="zh-CN"/>
        </w:rPr>
        <w:t>支出</w:t>
      </w:r>
      <w:r>
        <w:rPr>
          <w:rFonts w:hint="eastAsia" w:ascii="仿宋_GB2312" w:hAnsi="仿宋_GB2312" w:cs="仿宋_GB2312"/>
          <w:b w:val="0"/>
          <w:bCs w:val="0"/>
          <w:color w:val="000000"/>
          <w:sz w:val="32"/>
          <w:szCs w:val="32"/>
          <w:lang w:val="en-US" w:eastAsia="zh-CN"/>
        </w:rPr>
        <w:t>总体</w:t>
      </w:r>
      <w:r>
        <w:rPr>
          <w:rFonts w:hint="eastAsia" w:ascii="仿宋_GB2312" w:hAnsi="仿宋_GB2312" w:eastAsia="仿宋_GB2312" w:cs="仿宋_GB2312"/>
          <w:b w:val="0"/>
          <w:bCs w:val="0"/>
          <w:color w:val="000000"/>
          <w:sz w:val="32"/>
          <w:szCs w:val="32"/>
          <w:lang w:val="en-US" w:eastAsia="zh-CN"/>
        </w:rPr>
        <w:t>情况</w:t>
      </w:r>
    </w:p>
    <w:p w14:paraId="44C8404E">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2024</w:t>
      </w:r>
      <w:r>
        <w:rPr>
          <w:rFonts w:hint="default" w:ascii="仿宋_GB2312" w:hAnsi="仿宋_GB2312" w:eastAsia="仿宋_GB2312" w:cs="仿宋_GB2312"/>
          <w:b w:val="0"/>
          <w:bCs w:val="0"/>
          <w:color w:val="000000"/>
          <w:sz w:val="32"/>
          <w:szCs w:val="32"/>
          <w:lang w:val="en-US" w:eastAsia="zh-CN"/>
        </w:rPr>
        <w:t>年度</w:t>
      </w:r>
      <w:r>
        <w:rPr>
          <w:rFonts w:hint="eastAsia" w:ascii="仿宋_GB2312" w:hAnsi="仿宋" w:eastAsia="仿宋_GB2312" w:cs="Times New Roman"/>
          <w:kern w:val="2"/>
          <w:sz w:val="32"/>
          <w:szCs w:val="32"/>
          <w:lang w:val="en-US" w:eastAsia="zh-CN" w:bidi="ar-SA"/>
        </w:rPr>
        <w:t>市总工会</w:t>
      </w:r>
      <w:r>
        <w:rPr>
          <w:rFonts w:hint="eastAsia" w:ascii="仿宋_GB2312" w:hAnsi="仿宋_GB2312" w:eastAsia="仿宋_GB2312" w:cs="仿宋_GB2312"/>
          <w:b w:val="0"/>
          <w:bCs w:val="0"/>
          <w:color w:val="000000"/>
          <w:sz w:val="32"/>
          <w:szCs w:val="32"/>
          <w:lang w:val="en-US" w:eastAsia="zh-CN"/>
        </w:rPr>
        <w:t>支出年初预算为</w:t>
      </w:r>
      <w:r>
        <w:rPr>
          <w:rFonts w:hint="eastAsia" w:ascii="仿宋_GB2312" w:hAnsi="仿宋_GB2312" w:cs="仿宋_GB2312"/>
          <w:b w:val="0"/>
          <w:bCs w:val="0"/>
          <w:color w:val="000000"/>
          <w:sz w:val="32"/>
          <w:szCs w:val="32"/>
          <w:lang w:val="en-US" w:eastAsia="zh-CN"/>
        </w:rPr>
        <w:t>775.83万元，预算调整数为108.66万元，决算数为</w:t>
      </w:r>
      <w:r>
        <w:rPr>
          <w:rFonts w:hint="eastAsia" w:ascii="仿宋_GB2312" w:hAnsi="仿宋_GB2312" w:eastAsia="仿宋_GB2312" w:cs="仿宋_GB2312"/>
          <w:b w:val="0"/>
          <w:bCs w:val="0"/>
          <w:color w:val="000000"/>
          <w:sz w:val="32"/>
          <w:szCs w:val="32"/>
          <w:lang w:val="en-US" w:eastAsia="zh-CN"/>
        </w:rPr>
        <w:t>884.49万元，完成年初预算数的114.00%</w:t>
      </w:r>
      <w:r>
        <w:rPr>
          <w:rFonts w:hint="eastAsia" w:ascii="仿宋_GB2312" w:hAnsi="仿宋_GB2312" w:cs="仿宋_GB2312"/>
          <w:b w:val="0"/>
          <w:bCs w:val="0"/>
          <w:color w:val="000000"/>
          <w:sz w:val="32"/>
          <w:szCs w:val="32"/>
          <w:lang w:val="en-US" w:eastAsia="zh-CN"/>
        </w:rPr>
        <w:t>，预算调整原因为年中根据工作需要追加了</w:t>
      </w:r>
      <w:r>
        <w:rPr>
          <w:rFonts w:hint="eastAsia" w:ascii="仿宋_GB2312" w:eastAsia="仿宋_GB2312"/>
          <w:sz w:val="32"/>
          <w:lang w:val="en-US" w:eastAsia="zh-CN"/>
        </w:rPr>
        <w:t>职工疗休养及职工运动会专项</w:t>
      </w:r>
      <w:r>
        <w:rPr>
          <w:rFonts w:hint="eastAsia" w:ascii="仿宋_GB2312"/>
          <w:sz w:val="32"/>
          <w:lang w:val="en-US" w:eastAsia="zh-CN"/>
        </w:rPr>
        <w:t>资金</w:t>
      </w:r>
      <w:r>
        <w:rPr>
          <w:rFonts w:hint="eastAsia" w:ascii="仿宋_GB2312" w:hAnsi="仿宋_GB2312" w:eastAsia="仿宋_GB2312" w:cs="仿宋_GB2312"/>
          <w:b w:val="0"/>
          <w:bCs w:val="0"/>
          <w:color w:val="000000"/>
          <w:sz w:val="32"/>
          <w:szCs w:val="32"/>
          <w:lang w:val="en-US" w:eastAsia="zh-CN"/>
        </w:rPr>
        <w:t>。</w:t>
      </w:r>
    </w:p>
    <w:p w14:paraId="7F003F0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kern w:val="2"/>
          <w:sz w:val="32"/>
          <w:szCs w:val="32"/>
          <w:lang w:val="en-US" w:eastAsia="zh-CN" w:bidi="ar-SA"/>
        </w:rPr>
        <w:t>2.</w:t>
      </w:r>
      <w:r>
        <w:rPr>
          <w:rFonts w:hint="eastAsia" w:ascii="仿宋_GB2312" w:hAnsi="仿宋_GB2312" w:eastAsia="仿宋_GB2312" w:cs="仿宋_GB2312"/>
          <w:b w:val="0"/>
          <w:bCs w:val="0"/>
          <w:color w:val="000000"/>
          <w:sz w:val="32"/>
          <w:szCs w:val="32"/>
          <w:lang w:val="en-US" w:eastAsia="zh-CN"/>
        </w:rPr>
        <w:t>三公经费使用情况</w:t>
      </w:r>
    </w:p>
    <w:p w14:paraId="284684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3" w:beforeAutospacing="0" w:after="103" w:afterAutospacing="0" w:line="578" w:lineRule="exact"/>
        <w:ind w:left="0" w:right="0" w:firstLine="616" w:firstLineChars="200"/>
        <w:jc w:val="both"/>
        <w:textAlignment w:val="auto"/>
        <w:rPr>
          <w:rFonts w:hint="default" w:ascii="仿宋_GB2312" w:hAnsi="Times New Roman" w:eastAsia="仿宋_GB2312" w:cs="Times New Roman"/>
          <w:kern w:val="2"/>
          <w:sz w:val="32"/>
          <w:szCs w:val="24"/>
          <w:lang w:val="en-US" w:eastAsia="zh-CN" w:bidi="ar-SA"/>
        </w:rPr>
      </w:pPr>
      <w:r>
        <w:rPr>
          <w:rFonts w:hint="default" w:ascii="仿宋_GB2312" w:hAnsi="Times New Roman" w:eastAsia="仿宋_GB2312" w:cs="Times New Roman"/>
          <w:kern w:val="2"/>
          <w:sz w:val="32"/>
          <w:szCs w:val="24"/>
          <w:lang w:val="en-US" w:eastAsia="zh-CN" w:bidi="ar-SA"/>
        </w:rPr>
        <w:t>202</w:t>
      </w:r>
      <w:r>
        <w:rPr>
          <w:rFonts w:hint="eastAsia" w:ascii="仿宋_GB2312" w:hAnsi="Times New Roman" w:eastAsia="仿宋_GB2312" w:cs="Times New Roman"/>
          <w:kern w:val="2"/>
          <w:sz w:val="32"/>
          <w:szCs w:val="24"/>
          <w:lang w:val="en-US" w:eastAsia="zh-CN" w:bidi="ar-SA"/>
        </w:rPr>
        <w:t>4</w:t>
      </w:r>
      <w:r>
        <w:rPr>
          <w:rFonts w:hint="default" w:ascii="仿宋_GB2312" w:hAnsi="Times New Roman" w:eastAsia="仿宋_GB2312" w:cs="Times New Roman"/>
          <w:kern w:val="2"/>
          <w:sz w:val="32"/>
          <w:szCs w:val="24"/>
          <w:lang w:val="en-US" w:eastAsia="zh-CN" w:bidi="ar-SA"/>
        </w:rPr>
        <w:t>年度</w:t>
      </w:r>
      <w:r>
        <w:rPr>
          <w:rFonts w:hint="eastAsia" w:ascii="仿宋_GB2312" w:hAnsi="仿宋" w:eastAsia="仿宋_GB2312" w:cs="Times New Roman"/>
          <w:kern w:val="2"/>
          <w:sz w:val="32"/>
          <w:szCs w:val="32"/>
          <w:lang w:val="en-US" w:eastAsia="zh-CN" w:bidi="ar-SA"/>
        </w:rPr>
        <w:t>市总工会</w:t>
      </w:r>
      <w:r>
        <w:rPr>
          <w:rFonts w:hint="default" w:ascii="仿宋_GB2312" w:hAnsi="Times New Roman" w:eastAsia="仿宋_GB2312" w:cs="Times New Roman"/>
          <w:kern w:val="2"/>
          <w:sz w:val="32"/>
          <w:szCs w:val="24"/>
          <w:lang w:val="en-US" w:eastAsia="zh-CN" w:bidi="ar-SA"/>
        </w:rPr>
        <w:t>“三公”经费支出全年预算数为</w:t>
      </w:r>
      <w:r>
        <w:rPr>
          <w:rFonts w:hint="eastAsia" w:ascii="仿宋_GB2312" w:hAnsi="Times New Roman" w:eastAsia="仿宋_GB2312" w:cs="Times New Roman"/>
          <w:kern w:val="2"/>
          <w:sz w:val="32"/>
          <w:szCs w:val="24"/>
          <w:lang w:val="en-US" w:eastAsia="zh-CN" w:bidi="ar-SA"/>
        </w:rPr>
        <w:t>3.80</w:t>
      </w:r>
      <w:r>
        <w:rPr>
          <w:rFonts w:hint="default" w:ascii="仿宋_GB2312" w:hAnsi="Times New Roman" w:eastAsia="仿宋_GB2312" w:cs="Times New Roman"/>
          <w:kern w:val="2"/>
          <w:sz w:val="32"/>
          <w:szCs w:val="24"/>
          <w:lang w:val="en-US" w:eastAsia="zh-CN" w:bidi="ar-SA"/>
        </w:rPr>
        <w:t>万元,支出决算为3.76万元,</w:t>
      </w:r>
      <w:r>
        <w:rPr>
          <w:rFonts w:hint="eastAsia" w:ascii="仿宋_GB2312" w:hAnsi="Times New Roman" w:eastAsia="仿宋_GB2312" w:cs="Times New Roman"/>
          <w:kern w:val="2"/>
          <w:sz w:val="32"/>
          <w:szCs w:val="24"/>
          <w:lang w:val="en-US" w:eastAsia="zh-CN" w:bidi="ar-SA"/>
        </w:rPr>
        <w:t>完成年初预算数的98.94%</w:t>
      </w:r>
      <w:r>
        <w:rPr>
          <w:rFonts w:hint="default" w:ascii="仿宋_GB2312" w:hAnsi="Times New Roman" w:eastAsia="仿宋_GB2312" w:cs="Times New Roman"/>
          <w:kern w:val="2"/>
          <w:sz w:val="32"/>
          <w:szCs w:val="24"/>
          <w:lang w:val="en-US" w:eastAsia="zh-CN" w:bidi="ar-SA"/>
        </w:rPr>
        <w:t>。</w:t>
      </w:r>
      <w:r>
        <w:rPr>
          <w:rFonts w:hint="eastAsia" w:ascii="仿宋_GB2312" w:hAnsi="Times New Roman" w:eastAsia="仿宋_GB2312" w:cs="Times New Roman"/>
          <w:kern w:val="2"/>
          <w:sz w:val="32"/>
          <w:szCs w:val="24"/>
          <w:lang w:val="en-US" w:eastAsia="zh-CN" w:bidi="ar-SA"/>
        </w:rPr>
        <w:t>其中：</w:t>
      </w:r>
      <w:r>
        <w:rPr>
          <w:rFonts w:hint="default" w:ascii="仿宋_GB2312" w:hAnsi="Times New Roman" w:eastAsia="仿宋_GB2312" w:cs="Times New Roman"/>
          <w:kern w:val="2"/>
          <w:sz w:val="32"/>
          <w:szCs w:val="24"/>
          <w:lang w:val="en-US" w:eastAsia="zh-CN" w:bidi="ar-SA"/>
        </w:rPr>
        <w:t>公务用车运行维护费全年预算数为</w:t>
      </w:r>
      <w:r>
        <w:rPr>
          <w:rFonts w:hint="eastAsia" w:ascii="仿宋_GB2312" w:hAnsi="Times New Roman" w:eastAsia="仿宋_GB2312" w:cs="Times New Roman"/>
          <w:kern w:val="2"/>
          <w:sz w:val="32"/>
          <w:szCs w:val="24"/>
          <w:lang w:val="en-US" w:eastAsia="zh-CN" w:bidi="ar-SA"/>
        </w:rPr>
        <w:t>3</w:t>
      </w:r>
      <w:r>
        <w:rPr>
          <w:rFonts w:hint="default" w:ascii="仿宋_GB2312" w:hAnsi="Times New Roman" w:eastAsia="仿宋_GB2312" w:cs="Times New Roman"/>
          <w:kern w:val="2"/>
          <w:sz w:val="32"/>
          <w:szCs w:val="24"/>
          <w:lang w:val="en-US" w:eastAsia="zh-CN" w:bidi="ar-SA"/>
        </w:rPr>
        <w:t>万元,支出决算为</w:t>
      </w:r>
      <w:r>
        <w:rPr>
          <w:rFonts w:hint="eastAsia" w:ascii="仿宋_GB2312" w:hAnsi="Times New Roman" w:eastAsia="仿宋_GB2312" w:cs="Times New Roman"/>
          <w:kern w:val="2"/>
          <w:sz w:val="32"/>
          <w:szCs w:val="24"/>
          <w:lang w:val="en-US" w:eastAsia="zh-CN" w:bidi="ar-SA"/>
        </w:rPr>
        <w:t>3</w:t>
      </w:r>
      <w:r>
        <w:rPr>
          <w:rFonts w:hint="default" w:ascii="仿宋_GB2312" w:hAnsi="Times New Roman" w:eastAsia="仿宋_GB2312" w:cs="Times New Roman"/>
          <w:kern w:val="2"/>
          <w:sz w:val="32"/>
          <w:szCs w:val="24"/>
          <w:lang w:val="en-US" w:eastAsia="zh-CN" w:bidi="ar-SA"/>
        </w:rPr>
        <w:t>万元,</w:t>
      </w:r>
      <w:r>
        <w:rPr>
          <w:rFonts w:hint="eastAsia" w:ascii="仿宋_GB2312" w:hAnsi="Times New Roman" w:eastAsia="仿宋_GB2312" w:cs="Times New Roman"/>
          <w:kern w:val="2"/>
          <w:sz w:val="32"/>
          <w:szCs w:val="24"/>
          <w:lang w:val="en-US" w:eastAsia="zh-CN" w:bidi="ar-SA"/>
        </w:rPr>
        <w:t>完成</w:t>
      </w:r>
      <w:r>
        <w:rPr>
          <w:rFonts w:hint="default" w:ascii="仿宋_GB2312" w:hAnsi="Times New Roman" w:eastAsia="仿宋_GB2312" w:cs="Times New Roman"/>
          <w:kern w:val="2"/>
          <w:sz w:val="32"/>
          <w:szCs w:val="24"/>
          <w:lang w:val="en-US" w:eastAsia="zh-CN" w:bidi="ar-SA"/>
        </w:rPr>
        <w:t>预算数</w:t>
      </w:r>
      <w:r>
        <w:rPr>
          <w:rFonts w:hint="eastAsia" w:ascii="仿宋_GB2312" w:hAnsi="Times New Roman" w:eastAsia="仿宋_GB2312" w:cs="Times New Roman"/>
          <w:kern w:val="2"/>
          <w:sz w:val="32"/>
          <w:szCs w:val="24"/>
          <w:lang w:val="en-US" w:eastAsia="zh-CN" w:bidi="ar-SA"/>
        </w:rPr>
        <w:t>的</w:t>
      </w:r>
      <w:r>
        <w:rPr>
          <w:rFonts w:hint="eastAsia" w:ascii="仿宋_GB2312" w:cs="Times New Roman"/>
          <w:kern w:val="2"/>
          <w:sz w:val="32"/>
          <w:szCs w:val="24"/>
          <w:lang w:val="en-US" w:eastAsia="zh-CN" w:bidi="ar-SA"/>
        </w:rPr>
        <w:t>100</w:t>
      </w:r>
      <w:r>
        <w:rPr>
          <w:rFonts w:hint="eastAsia" w:ascii="仿宋_GB2312" w:hAnsi="Times New Roman" w:eastAsia="仿宋_GB2312" w:cs="Times New Roman"/>
          <w:kern w:val="2"/>
          <w:sz w:val="32"/>
          <w:szCs w:val="24"/>
          <w:lang w:val="en-US" w:eastAsia="zh-CN" w:bidi="ar-SA"/>
        </w:rPr>
        <w:t>%</w:t>
      </w:r>
      <w:r>
        <w:rPr>
          <w:rFonts w:hint="eastAsia" w:ascii="仿宋_GB2312" w:hAnsi="Times New Roman" w:cs="Times New Roman"/>
          <w:kern w:val="2"/>
          <w:sz w:val="32"/>
          <w:szCs w:val="24"/>
          <w:lang w:val="en-US" w:eastAsia="zh-CN" w:bidi="ar-SA"/>
        </w:rPr>
        <w:t>；</w:t>
      </w:r>
      <w:r>
        <w:rPr>
          <w:rFonts w:hint="default" w:ascii="仿宋_GB2312" w:hAnsi="Times New Roman" w:eastAsia="仿宋_GB2312" w:cs="Times New Roman"/>
          <w:kern w:val="2"/>
          <w:sz w:val="32"/>
          <w:szCs w:val="24"/>
          <w:lang w:val="en-US" w:eastAsia="zh-CN" w:bidi="ar-SA"/>
        </w:rPr>
        <w:t>公务接待费全年预算数为</w:t>
      </w:r>
      <w:r>
        <w:rPr>
          <w:rFonts w:hint="eastAsia" w:ascii="仿宋_GB2312" w:hAnsi="Times New Roman" w:eastAsia="仿宋_GB2312" w:cs="Times New Roman"/>
          <w:kern w:val="2"/>
          <w:sz w:val="32"/>
          <w:szCs w:val="24"/>
          <w:lang w:val="en-US" w:eastAsia="zh-CN" w:bidi="ar-SA"/>
        </w:rPr>
        <w:t>0.8</w:t>
      </w:r>
      <w:r>
        <w:rPr>
          <w:rFonts w:hint="default" w:ascii="仿宋_GB2312" w:hAnsi="Times New Roman" w:eastAsia="仿宋_GB2312" w:cs="Times New Roman"/>
          <w:kern w:val="2"/>
          <w:sz w:val="32"/>
          <w:szCs w:val="24"/>
          <w:lang w:val="en-US" w:eastAsia="zh-CN" w:bidi="ar-SA"/>
        </w:rPr>
        <w:t>万元,支出决算为</w:t>
      </w:r>
      <w:r>
        <w:rPr>
          <w:rFonts w:hint="eastAsia" w:ascii="仿宋_GB2312" w:hAnsi="Times New Roman" w:eastAsia="仿宋_GB2312" w:cs="Times New Roman"/>
          <w:kern w:val="2"/>
          <w:sz w:val="32"/>
          <w:szCs w:val="24"/>
          <w:lang w:val="en-US" w:eastAsia="zh-CN" w:bidi="ar-SA"/>
        </w:rPr>
        <w:t>0.76</w:t>
      </w:r>
      <w:r>
        <w:rPr>
          <w:rFonts w:hint="default" w:ascii="仿宋_GB2312" w:hAnsi="Times New Roman" w:eastAsia="仿宋_GB2312" w:cs="Times New Roman"/>
          <w:kern w:val="2"/>
          <w:sz w:val="32"/>
          <w:szCs w:val="24"/>
          <w:lang w:val="en-US" w:eastAsia="zh-CN" w:bidi="ar-SA"/>
        </w:rPr>
        <w:t>万元,</w:t>
      </w:r>
      <w:r>
        <w:rPr>
          <w:rFonts w:hint="eastAsia" w:ascii="仿宋_GB2312" w:hAnsi="Times New Roman" w:eastAsia="仿宋_GB2312" w:cs="Times New Roman"/>
          <w:kern w:val="2"/>
          <w:sz w:val="32"/>
          <w:szCs w:val="24"/>
          <w:lang w:val="en-US" w:eastAsia="zh-CN" w:bidi="ar-SA"/>
        </w:rPr>
        <w:t>完成</w:t>
      </w:r>
      <w:r>
        <w:rPr>
          <w:rFonts w:hint="default" w:ascii="仿宋_GB2312" w:hAnsi="Times New Roman" w:eastAsia="仿宋_GB2312" w:cs="Times New Roman"/>
          <w:kern w:val="2"/>
          <w:sz w:val="32"/>
          <w:szCs w:val="24"/>
          <w:lang w:val="en-US" w:eastAsia="zh-CN" w:bidi="ar-SA"/>
        </w:rPr>
        <w:t>预算数</w:t>
      </w:r>
      <w:r>
        <w:rPr>
          <w:rFonts w:hint="eastAsia" w:ascii="仿宋_GB2312" w:hAnsi="Times New Roman" w:eastAsia="仿宋_GB2312" w:cs="Times New Roman"/>
          <w:kern w:val="2"/>
          <w:sz w:val="32"/>
          <w:szCs w:val="24"/>
          <w:lang w:val="en-US" w:eastAsia="zh-CN" w:bidi="ar-SA"/>
        </w:rPr>
        <w:t>的95%</w:t>
      </w:r>
      <w:r>
        <w:rPr>
          <w:rFonts w:hint="eastAsia" w:ascii="仿宋_GB2312" w:hAnsi="Times New Roman" w:cs="Times New Roman"/>
          <w:kern w:val="2"/>
          <w:sz w:val="32"/>
          <w:szCs w:val="24"/>
          <w:lang w:val="en-US" w:eastAsia="zh-CN" w:bidi="ar-SA"/>
        </w:rPr>
        <w:t>，共</w:t>
      </w:r>
      <w:r>
        <w:rPr>
          <w:rFonts w:hint="default" w:ascii="仿宋_GB2312" w:hAnsi="Times New Roman" w:eastAsia="仿宋_GB2312" w:cs="Times New Roman"/>
          <w:kern w:val="2"/>
          <w:sz w:val="32"/>
          <w:szCs w:val="24"/>
          <w:lang w:val="en-US" w:eastAsia="zh-CN" w:bidi="ar-SA"/>
        </w:rPr>
        <w:t>接待</w:t>
      </w:r>
      <w:r>
        <w:rPr>
          <w:rFonts w:hint="eastAsia" w:ascii="仿宋_GB2312" w:hAnsi="Times New Roman" w:eastAsia="仿宋_GB2312" w:cs="Times New Roman"/>
          <w:kern w:val="2"/>
          <w:sz w:val="32"/>
          <w:szCs w:val="24"/>
          <w:lang w:val="en-US" w:eastAsia="zh-CN" w:bidi="ar-SA"/>
        </w:rPr>
        <w:t>7</w:t>
      </w:r>
      <w:r>
        <w:rPr>
          <w:rFonts w:hint="default" w:ascii="仿宋_GB2312" w:hAnsi="Times New Roman" w:eastAsia="仿宋_GB2312" w:cs="Times New Roman"/>
          <w:kern w:val="2"/>
          <w:sz w:val="32"/>
          <w:szCs w:val="24"/>
          <w:lang w:val="en-US" w:eastAsia="zh-CN" w:bidi="ar-SA"/>
        </w:rPr>
        <w:t>批次，</w:t>
      </w:r>
      <w:r>
        <w:rPr>
          <w:rFonts w:hint="eastAsia" w:ascii="仿宋_GB2312" w:hAnsi="Times New Roman" w:eastAsia="仿宋_GB2312" w:cs="Times New Roman"/>
          <w:kern w:val="2"/>
          <w:sz w:val="32"/>
          <w:szCs w:val="24"/>
          <w:lang w:val="en-US" w:eastAsia="zh-CN" w:bidi="ar-SA"/>
        </w:rPr>
        <w:t>63</w:t>
      </w:r>
      <w:r>
        <w:rPr>
          <w:rFonts w:hint="default" w:ascii="仿宋_GB2312" w:hAnsi="Times New Roman" w:eastAsia="仿宋_GB2312" w:cs="Times New Roman"/>
          <w:kern w:val="2"/>
          <w:sz w:val="32"/>
          <w:szCs w:val="24"/>
          <w:lang w:val="en-US" w:eastAsia="zh-CN" w:bidi="ar-SA"/>
        </w:rPr>
        <w:t>人。</w:t>
      </w:r>
    </w:p>
    <w:p w14:paraId="71C51E8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cs="仿宋_GB2312"/>
          <w:b w:val="0"/>
          <w:bCs w:val="0"/>
          <w:color w:val="000000"/>
          <w:kern w:val="2"/>
          <w:sz w:val="32"/>
          <w:szCs w:val="32"/>
          <w:lang w:val="en-US" w:eastAsia="zh-CN" w:bidi="ar-SA"/>
        </w:rPr>
        <w:t>3</w:t>
      </w:r>
      <w:r>
        <w:rPr>
          <w:rFonts w:hint="eastAsia" w:ascii="仿宋_GB2312" w:hAnsi="仿宋_GB2312" w:eastAsia="仿宋_GB2312" w:cs="仿宋_GB2312"/>
          <w:b w:val="0"/>
          <w:bCs w:val="0"/>
          <w:color w:val="000000"/>
          <w:kern w:val="2"/>
          <w:sz w:val="32"/>
          <w:szCs w:val="32"/>
          <w:lang w:val="en-US" w:eastAsia="zh-CN" w:bidi="ar-SA"/>
        </w:rPr>
        <w:t>.</w:t>
      </w:r>
      <w:r>
        <w:rPr>
          <w:rFonts w:hint="eastAsia" w:ascii="仿宋_GB2312" w:hAnsi="仿宋_GB2312" w:cs="仿宋_GB2312"/>
          <w:b w:val="0"/>
          <w:bCs w:val="0"/>
          <w:color w:val="000000"/>
          <w:sz w:val="32"/>
          <w:szCs w:val="32"/>
          <w:lang w:val="en-US" w:eastAsia="zh-CN"/>
        </w:rPr>
        <w:t>公用</w:t>
      </w:r>
      <w:r>
        <w:rPr>
          <w:rFonts w:hint="eastAsia" w:ascii="仿宋_GB2312" w:hAnsi="仿宋_GB2312" w:eastAsia="仿宋_GB2312" w:cs="仿宋_GB2312"/>
          <w:b w:val="0"/>
          <w:bCs w:val="0"/>
          <w:color w:val="000000"/>
          <w:sz w:val="32"/>
          <w:szCs w:val="32"/>
          <w:lang w:val="en-US" w:eastAsia="zh-CN"/>
        </w:rPr>
        <w:t>经费使用情况</w:t>
      </w:r>
    </w:p>
    <w:p w14:paraId="69B99E2D">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default"/>
          <w:lang w:val="en-US" w:eastAsia="zh-CN"/>
        </w:rPr>
      </w:pPr>
      <w:r>
        <w:rPr>
          <w:rFonts w:hint="default" w:ascii="仿宋_GB2312" w:hAnsi="Times New Roman" w:eastAsia="仿宋_GB2312" w:cs="Times New Roman"/>
          <w:kern w:val="2"/>
          <w:sz w:val="32"/>
          <w:szCs w:val="24"/>
          <w:lang w:val="en-US" w:eastAsia="zh-CN" w:bidi="ar-SA"/>
        </w:rPr>
        <w:t>202</w:t>
      </w:r>
      <w:r>
        <w:rPr>
          <w:rFonts w:hint="eastAsia" w:ascii="仿宋_GB2312" w:hAnsi="Times New Roman" w:eastAsia="仿宋_GB2312" w:cs="Times New Roman"/>
          <w:kern w:val="2"/>
          <w:sz w:val="32"/>
          <w:szCs w:val="24"/>
          <w:lang w:val="en-US" w:eastAsia="zh-CN" w:bidi="ar-SA"/>
        </w:rPr>
        <w:t>4</w:t>
      </w:r>
      <w:r>
        <w:rPr>
          <w:rFonts w:hint="default" w:ascii="仿宋_GB2312" w:hAnsi="Times New Roman" w:eastAsia="仿宋_GB2312" w:cs="Times New Roman"/>
          <w:kern w:val="2"/>
          <w:sz w:val="32"/>
          <w:szCs w:val="24"/>
          <w:lang w:val="en-US" w:eastAsia="zh-CN" w:bidi="ar-SA"/>
        </w:rPr>
        <w:t>年度</w:t>
      </w:r>
      <w:r>
        <w:rPr>
          <w:rFonts w:hint="eastAsia" w:ascii="仿宋_GB2312" w:hAnsi="仿宋" w:eastAsia="仿宋_GB2312" w:cs="Times New Roman"/>
          <w:kern w:val="2"/>
          <w:sz w:val="32"/>
          <w:szCs w:val="32"/>
          <w:lang w:val="en-US" w:eastAsia="zh-CN" w:bidi="ar-SA"/>
        </w:rPr>
        <w:t>市总工会</w:t>
      </w:r>
      <w:r>
        <w:rPr>
          <w:rFonts w:hint="eastAsia" w:ascii="仿宋_GB2312" w:cs="Times New Roman"/>
          <w:kern w:val="2"/>
          <w:sz w:val="32"/>
          <w:szCs w:val="24"/>
          <w:lang w:val="en-US" w:eastAsia="zh-CN" w:bidi="ar-SA"/>
        </w:rPr>
        <w:t>公用</w:t>
      </w:r>
      <w:r>
        <w:rPr>
          <w:rFonts w:hint="default" w:ascii="仿宋_GB2312" w:hAnsi="Times New Roman" w:eastAsia="仿宋_GB2312" w:cs="Times New Roman"/>
          <w:kern w:val="2"/>
          <w:sz w:val="32"/>
          <w:szCs w:val="24"/>
          <w:lang w:val="en-US" w:eastAsia="zh-CN" w:bidi="ar-SA"/>
        </w:rPr>
        <w:t>经费支出全年预算数为</w:t>
      </w:r>
      <w:r>
        <w:rPr>
          <w:rFonts w:hint="eastAsia" w:ascii="仿宋_GB2312" w:hAnsi="Times New Roman" w:cs="Times New Roman"/>
          <w:kern w:val="2"/>
          <w:sz w:val="32"/>
          <w:szCs w:val="24"/>
          <w:lang w:val="en-US" w:eastAsia="zh-CN" w:bidi="ar-SA"/>
        </w:rPr>
        <w:t>42.76</w:t>
      </w:r>
      <w:r>
        <w:rPr>
          <w:rFonts w:hint="default" w:ascii="仿宋_GB2312" w:hAnsi="Times New Roman" w:eastAsia="仿宋_GB2312" w:cs="Times New Roman"/>
          <w:kern w:val="2"/>
          <w:sz w:val="32"/>
          <w:szCs w:val="24"/>
          <w:lang w:val="en-US" w:eastAsia="zh-CN" w:bidi="ar-SA"/>
        </w:rPr>
        <w:t>万元,支出决算为</w:t>
      </w:r>
      <w:r>
        <w:rPr>
          <w:rFonts w:hint="eastAsia" w:ascii="仿宋_GB2312" w:hAnsi="Times New Roman" w:cs="Times New Roman"/>
          <w:kern w:val="2"/>
          <w:sz w:val="32"/>
          <w:szCs w:val="24"/>
          <w:lang w:val="en-US" w:eastAsia="zh-CN" w:bidi="ar-SA"/>
        </w:rPr>
        <w:t>41.67</w:t>
      </w:r>
      <w:r>
        <w:rPr>
          <w:rFonts w:hint="default" w:ascii="仿宋_GB2312" w:hAnsi="Times New Roman" w:eastAsia="仿宋_GB2312" w:cs="Times New Roman"/>
          <w:kern w:val="2"/>
          <w:sz w:val="32"/>
          <w:szCs w:val="24"/>
          <w:lang w:val="en-US" w:eastAsia="zh-CN" w:bidi="ar-SA"/>
        </w:rPr>
        <w:t>万元,</w:t>
      </w:r>
      <w:r>
        <w:rPr>
          <w:rFonts w:hint="eastAsia" w:ascii="仿宋_GB2312" w:hAnsi="Times New Roman" w:eastAsia="仿宋_GB2312" w:cs="Times New Roman"/>
          <w:kern w:val="2"/>
          <w:sz w:val="32"/>
          <w:szCs w:val="24"/>
          <w:lang w:val="en-US" w:eastAsia="zh-CN" w:bidi="ar-SA"/>
        </w:rPr>
        <w:t>完成年初预算数的</w:t>
      </w:r>
      <w:r>
        <w:rPr>
          <w:rFonts w:hint="eastAsia" w:ascii="仿宋_GB2312" w:hAnsi="Times New Roman" w:cs="Times New Roman"/>
          <w:kern w:val="2"/>
          <w:sz w:val="32"/>
          <w:szCs w:val="24"/>
          <w:lang w:val="en-US" w:eastAsia="zh-CN" w:bidi="ar-SA"/>
        </w:rPr>
        <w:t>97.45</w:t>
      </w:r>
      <w:r>
        <w:rPr>
          <w:rFonts w:hint="eastAsia" w:ascii="仿宋_GB2312" w:hAnsi="Times New Roman" w:eastAsia="仿宋_GB2312" w:cs="Times New Roman"/>
          <w:kern w:val="2"/>
          <w:sz w:val="32"/>
          <w:szCs w:val="24"/>
          <w:lang w:val="en-US" w:eastAsia="zh-CN" w:bidi="ar-SA"/>
        </w:rPr>
        <w:t>%</w:t>
      </w:r>
      <w:r>
        <w:rPr>
          <w:rFonts w:hint="default" w:ascii="仿宋_GB2312" w:hAnsi="Times New Roman" w:eastAsia="仿宋_GB2312" w:cs="Times New Roman"/>
          <w:kern w:val="2"/>
          <w:sz w:val="32"/>
          <w:szCs w:val="24"/>
          <w:lang w:val="en-US" w:eastAsia="zh-CN" w:bidi="ar-SA"/>
        </w:rPr>
        <w:t>。</w:t>
      </w:r>
    </w:p>
    <w:p w14:paraId="2400974E">
      <w:pPr>
        <w:keepNext w:val="0"/>
        <w:keepLines w:val="0"/>
        <w:pageBreakBefore w:val="0"/>
        <w:widowControl w:val="0"/>
        <w:kinsoku/>
        <w:wordWrap/>
        <w:overflowPunct/>
        <w:topLinePunct w:val="0"/>
        <w:autoSpaceDE/>
        <w:autoSpaceDN/>
        <w:bidi w:val="0"/>
        <w:adjustRightInd/>
        <w:spacing w:line="578" w:lineRule="exact"/>
        <w:ind w:firstLine="616" w:firstLineChars="200"/>
        <w:textAlignment w:val="auto"/>
        <w:outlineLvl w:val="9"/>
        <w:rPr>
          <w:rFonts w:ascii="楷体_GB2312" w:eastAsia="楷体_GB2312"/>
          <w:b/>
          <w:bCs/>
          <w:szCs w:val="32"/>
        </w:rPr>
      </w:pPr>
      <w:r>
        <w:rPr>
          <w:rFonts w:hint="eastAsia" w:ascii="楷体_GB2312" w:eastAsia="楷体_GB2312"/>
          <w:b/>
          <w:bCs/>
          <w:szCs w:val="32"/>
        </w:rPr>
        <w:t>（四）部门整体支出绩效目标</w:t>
      </w:r>
    </w:p>
    <w:p w14:paraId="27456BC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textAlignment w:val="auto"/>
        <w:outlineLvl w:val="9"/>
        <w:rPr>
          <w:rFonts w:hint="default" w:ascii="仿宋_GB2312" w:hAnsi="仿宋_GB2312" w:cs="仿宋_GB2312"/>
          <w:b w:val="0"/>
          <w:bCs w:val="0"/>
          <w:color w:val="000000"/>
          <w:kern w:val="2"/>
          <w:sz w:val="32"/>
          <w:szCs w:val="32"/>
          <w:lang w:val="en-US" w:eastAsia="zh-CN" w:bidi="ar-SA"/>
        </w:rPr>
      </w:pPr>
      <w:bookmarkStart w:id="10" w:name="_Toc4514_WPSOffice_Level1"/>
      <w:bookmarkStart w:id="11" w:name="_Toc22180"/>
      <w:r>
        <w:rPr>
          <w:rFonts w:hint="eastAsia" w:ascii="仿宋_GB2312" w:hAnsi="仿宋_GB2312" w:cs="仿宋_GB2312"/>
          <w:b w:val="0"/>
          <w:bCs w:val="0"/>
          <w:color w:val="000000"/>
          <w:kern w:val="2"/>
          <w:sz w:val="32"/>
          <w:szCs w:val="32"/>
          <w:lang w:val="en-US" w:eastAsia="zh-CN" w:bidi="ar-SA"/>
        </w:rPr>
        <w:t>1.总体目标</w:t>
      </w:r>
    </w:p>
    <w:p w14:paraId="6DB51073">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紧密围绕上级部门和市委、市政府下达的工作目标，秉持高效、优质的原则，合理安排和使用财政预算资金，确保各项职能工作顺利开展。通过一系列举措，切实维护职工合法权益，提升职工生活质量和满意度，推动工会工作与林芝市经济社会发展深度融合，构建和谐劳动关系，为社会进步贡献力量，实现工会工作在服务职工、服务大局中的新突破和新成效。</w:t>
      </w:r>
    </w:p>
    <w:p w14:paraId="6BD7E39B">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val="en-US" w:eastAsia="zh-CN"/>
        </w:rPr>
        <w:t>2.重点项目</w:t>
      </w:r>
      <w:r>
        <w:rPr>
          <w:rFonts w:hint="eastAsia"/>
          <w:lang w:eastAsia="zh-CN"/>
        </w:rPr>
        <w:t>目标</w:t>
      </w:r>
    </w:p>
    <w:p w14:paraId="138100E7">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）送温暖工作目标</w:t>
      </w:r>
    </w:p>
    <w:p w14:paraId="27D2A724">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活动开展：开展 2024 年西藏民主改革65周年送温暖、2024 年“五送”活动送温暖、2024 年“5.12”护士节送温暖、“8.19”医师节送温暖、教师节慰问、中国农民工丰收节慰问、2024 年驻村工作队慰问、“国庆节”送温暖、“10.26”世界环卫工人日送温暖、“11.8”中国记者节送温暖等系列活动。</w:t>
      </w:r>
    </w:p>
    <w:p w14:paraId="3FCDA499">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覆盖范围：确保送温暖活动覆盖各类职工群体，包括医护人员、教师、农民工、环卫工人、记者等，体现党和政府对广大职工的关心关怀。</w:t>
      </w:r>
    </w:p>
    <w:p w14:paraId="44FA31D4">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效果评估：通过职工反馈、社会舆论等方式，评估送温暖活动的效果，确保活动达到预期目标，展现工会组织的责任和担当。</w:t>
      </w:r>
    </w:p>
    <w:p w14:paraId="66810A55">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）疗休养活动目标</w:t>
      </w:r>
    </w:p>
    <w:p w14:paraId="0ADC2A18">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val="en-US" w:eastAsia="zh-CN"/>
        </w:rPr>
        <w:t>组织</w:t>
      </w:r>
      <w:r>
        <w:rPr>
          <w:rFonts w:hint="eastAsia"/>
          <w:lang w:eastAsia="zh-CN"/>
        </w:rPr>
        <w:t>疗休养：组织1批次劳模疗休养和7批次职工疗休养活动，确保活动顺利开展，传递对劳模及干部职工的关怀与奖励。</w:t>
      </w:r>
    </w:p>
    <w:p w14:paraId="4160A7AD">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教育与文化传承：加强爱国主义教育和文化传承工作，通过多种方式促进职工身心健康，助力职工全面发展。</w:t>
      </w:r>
    </w:p>
    <w:p w14:paraId="509DD3A5">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权益保障：通过各项服务措施，切实保障职工合法权益，提升职工生活质量和满意度，确保职工权益保障工作取得显著成效。</w:t>
      </w:r>
    </w:p>
    <w:p w14:paraId="1955A145">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w:t>
      </w:r>
      <w:r>
        <w:rPr>
          <w:rFonts w:hint="eastAsia"/>
          <w:lang w:val="en-US" w:eastAsia="zh-CN"/>
        </w:rPr>
        <w:t>3</w:t>
      </w:r>
      <w:r>
        <w:rPr>
          <w:rFonts w:hint="eastAsia"/>
          <w:lang w:eastAsia="zh-CN"/>
        </w:rPr>
        <w:t>）职工运动会参赛目标</w:t>
      </w:r>
    </w:p>
    <w:p w14:paraId="0A784F19">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资金管理：严格按照财务管理制度，规范使用专项资金，确保资金专款专用，保障集训及参赛工作顺利开展。</w:t>
      </w:r>
    </w:p>
    <w:p w14:paraId="3C3B5366">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参赛成绩：积极响应自治区关于举办职工运动会的号召，确保林芝代表队在比赛中取得优异成绩。</w:t>
      </w:r>
    </w:p>
    <w:p w14:paraId="07499380">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精神风貌展示：通过比赛，充分展现林芝广大干部职工为推动林芝高质量发展、促进改革开放先行而努力拼搏的豪情壮志，提升林芝市</w:t>
      </w:r>
      <w:r>
        <w:rPr>
          <w:rFonts w:hint="eastAsia"/>
          <w:lang w:val="en-US" w:eastAsia="zh-CN"/>
        </w:rPr>
        <w:t>总工会</w:t>
      </w:r>
      <w:r>
        <w:rPr>
          <w:rFonts w:hint="eastAsia"/>
          <w:lang w:eastAsia="zh-CN"/>
        </w:rPr>
        <w:t>的社会影响力。</w:t>
      </w:r>
    </w:p>
    <w:p w14:paraId="67B35970">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val="en-US" w:eastAsia="zh-CN"/>
        </w:rPr>
        <w:t>3.</w:t>
      </w:r>
      <w:r>
        <w:rPr>
          <w:rFonts w:hint="eastAsia"/>
          <w:lang w:eastAsia="zh-CN"/>
        </w:rPr>
        <w:t>保障措施</w:t>
      </w:r>
    </w:p>
    <w:p w14:paraId="1A336585">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加强组织领导：成立专门的工作领导小组，明确职责分工，确保各项工作有序推进。</w:t>
      </w:r>
    </w:p>
    <w:p w14:paraId="2EBBA483">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合理安排资金：根据年度预算安排，合理分配资金，确保各项活动和工作顺利开展。</w:t>
      </w:r>
    </w:p>
    <w:p w14:paraId="0D700E01">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强化监督检查：建立健全监督检查机制，定期对各项工作进行检查评估，及时发现问题并加以解决。</w:t>
      </w:r>
    </w:p>
    <w:p w14:paraId="7F76B3D6">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加强宣传推广：通过多种渠道，加强对工会工作的宣传推广，提升工会组织的社会影响力和职工满意度。</w:t>
      </w:r>
    </w:p>
    <w:p w14:paraId="0239FC22">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val="en-US" w:eastAsia="zh-CN"/>
        </w:rPr>
        <w:t>4.</w:t>
      </w:r>
      <w:r>
        <w:rPr>
          <w:rFonts w:hint="eastAsia"/>
          <w:lang w:eastAsia="zh-CN"/>
        </w:rPr>
        <w:t>预期成果</w:t>
      </w:r>
    </w:p>
    <w:p w14:paraId="2AD2B311">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职工满意度提升：通过送温暖活动和</w:t>
      </w:r>
      <w:r>
        <w:rPr>
          <w:rFonts w:hint="eastAsia"/>
          <w:lang w:val="en-US" w:eastAsia="zh-CN"/>
        </w:rPr>
        <w:t>职工疗休养等</w:t>
      </w:r>
      <w:r>
        <w:rPr>
          <w:rFonts w:hint="eastAsia"/>
          <w:lang w:eastAsia="zh-CN"/>
        </w:rPr>
        <w:t>工作，显著提升职工对工会工作的满意度。</w:t>
      </w:r>
    </w:p>
    <w:p w14:paraId="6B830B6B">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社会影响力增强：通过职工运动会等大型活动，提升林芝市总工会的社会影响力，展现工会组织的责任和担当。</w:t>
      </w:r>
    </w:p>
    <w:p w14:paraId="2DD847B9">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lang w:eastAsia="zh-CN"/>
        </w:rPr>
      </w:pPr>
      <w:r>
        <w:rPr>
          <w:rFonts w:hint="eastAsia"/>
          <w:lang w:eastAsia="zh-CN"/>
        </w:rPr>
        <w:t>和谐劳动关系构建：通过各项服务和保障工作，促进和谐劳动关系的构建，为林芝市经济社会发展创造良好的社会环境。</w:t>
      </w:r>
    </w:p>
    <w:p w14:paraId="6BD63D63">
      <w:pPr>
        <w:keepNext w:val="0"/>
        <w:keepLines w:val="0"/>
        <w:pageBreakBefore w:val="0"/>
        <w:widowControl w:val="0"/>
        <w:kinsoku/>
        <w:wordWrap/>
        <w:overflowPunct/>
        <w:topLinePunct w:val="0"/>
        <w:autoSpaceDE/>
        <w:autoSpaceDN/>
        <w:bidi w:val="0"/>
        <w:adjustRightInd/>
        <w:spacing w:line="578" w:lineRule="exact"/>
        <w:ind w:firstLine="616" w:firstLineChars="200"/>
        <w:textAlignment w:val="auto"/>
        <w:outlineLvl w:val="9"/>
        <w:rPr>
          <w:rFonts w:ascii="方正小标宋简体" w:eastAsia="方正小标宋简体"/>
        </w:rPr>
      </w:pPr>
      <w:r>
        <w:rPr>
          <w:rFonts w:hint="eastAsia" w:ascii="方正小标宋简体" w:eastAsia="方正小标宋简体"/>
        </w:rPr>
        <w:t>二、绩效自评结论</w:t>
      </w:r>
      <w:bookmarkEnd w:id="10"/>
      <w:bookmarkEnd w:id="11"/>
    </w:p>
    <w:p w14:paraId="15BBC2BC">
      <w:pPr>
        <w:keepNext w:val="0"/>
        <w:keepLines w:val="0"/>
        <w:pageBreakBefore w:val="0"/>
        <w:widowControl w:val="0"/>
        <w:kinsoku/>
        <w:wordWrap/>
        <w:overflowPunct/>
        <w:topLinePunct w:val="0"/>
        <w:autoSpaceDE/>
        <w:autoSpaceDN/>
        <w:bidi w:val="0"/>
        <w:adjustRightInd/>
        <w:snapToGrid w:val="0"/>
        <w:spacing w:line="578" w:lineRule="exact"/>
        <w:ind w:firstLine="616" w:firstLineChars="200"/>
        <w:textAlignment w:val="auto"/>
        <w:outlineLvl w:val="9"/>
        <w:rPr>
          <w:rFonts w:ascii="方正小标宋简体" w:eastAsia="方正小标宋简体"/>
        </w:rPr>
      </w:pPr>
      <w:r>
        <w:rPr>
          <w:rFonts w:hint="eastAsia" w:ascii="仿宋_GB2312" w:hAnsi="华文仿宋" w:cs="仿宋_GB2312"/>
          <w:szCs w:val="32"/>
        </w:rPr>
        <w:t>在2024年预算年度内，本部门整体支出绩效目标完成情况较为良好，但在部分项目上仍有提升空间。从履行职责的经济性、效率性、效果性和公平性来看，本部门在经济性方面，基本能合理安排和使用财政预算资金；在效率性方面，整体支出进度较快，但部分项目如党建经费、事故调查及维权工作经费、市级劳模荣誉金及体检费项目</w:t>
      </w:r>
      <w:r>
        <w:rPr>
          <w:rFonts w:hint="eastAsia" w:ascii="仿宋_GB2312" w:hAnsi="华文仿宋" w:cs="仿宋_GB2312"/>
          <w:szCs w:val="32"/>
          <w:lang w:val="en-US" w:eastAsia="zh-CN"/>
        </w:rPr>
        <w:t>支出进度仍存在优化提升空间，需通过强化预算执行管理、完善项目推进机制，加快资金拨付使用节奏，确保财政资源高效配置</w:t>
      </w:r>
      <w:r>
        <w:rPr>
          <w:rFonts w:hint="eastAsia" w:ascii="仿宋_GB2312" w:hAnsi="华文仿宋" w:cs="仿宋_GB2312"/>
          <w:szCs w:val="32"/>
        </w:rPr>
        <w:t>；在效果性方面，通过一系列活动和工作，如送温暖活动、职工疗休养活动等，在一定程度上提升了职工满意度；在公平性方面，送温暖活动等覆盖了各类职工群体，体现了对广大职工的关心关怀，但在资源分配和项目实施过程中，可能存在对部分项目或群体的关注度不够均衡的情况。根据自评指标评分表，自评分数为88.35分，等级为良好。</w:t>
      </w:r>
    </w:p>
    <w:p w14:paraId="52EE6943">
      <w:pPr>
        <w:keepNext w:val="0"/>
        <w:keepLines w:val="0"/>
        <w:pageBreakBefore w:val="0"/>
        <w:widowControl w:val="0"/>
        <w:kinsoku/>
        <w:wordWrap/>
        <w:overflowPunct/>
        <w:topLinePunct w:val="0"/>
        <w:autoSpaceDE/>
        <w:autoSpaceDN/>
        <w:bidi w:val="0"/>
        <w:adjustRightInd/>
        <w:spacing w:line="578" w:lineRule="exact"/>
        <w:ind w:firstLine="616" w:firstLineChars="200"/>
        <w:textAlignment w:val="auto"/>
        <w:outlineLvl w:val="9"/>
        <w:rPr>
          <w:rFonts w:ascii="方正小标宋简体" w:eastAsia="方正小标宋简体"/>
          <w:highlight w:val="none"/>
        </w:rPr>
      </w:pPr>
      <w:bookmarkStart w:id="12" w:name="_Toc2072"/>
      <w:bookmarkStart w:id="13" w:name="_Toc2998_WPSOffice_Level1"/>
      <w:r>
        <w:rPr>
          <w:rFonts w:hint="eastAsia" w:ascii="方正小标宋简体" w:eastAsia="方正小标宋简体"/>
          <w:highlight w:val="none"/>
        </w:rPr>
        <w:t>三、绩效自评分析</w:t>
      </w:r>
      <w:bookmarkEnd w:id="12"/>
      <w:bookmarkEnd w:id="13"/>
    </w:p>
    <w:p w14:paraId="78C623A2">
      <w:pPr>
        <w:keepNext w:val="0"/>
        <w:keepLines w:val="0"/>
        <w:pageBreakBefore w:val="0"/>
        <w:widowControl w:val="0"/>
        <w:kinsoku/>
        <w:wordWrap/>
        <w:overflowPunct/>
        <w:topLinePunct w:val="0"/>
        <w:autoSpaceDE/>
        <w:autoSpaceDN/>
        <w:bidi w:val="0"/>
        <w:adjustRightInd/>
        <w:spacing w:line="578" w:lineRule="exact"/>
        <w:ind w:firstLine="616" w:firstLineChars="200"/>
        <w:textAlignment w:val="auto"/>
        <w:outlineLvl w:val="9"/>
        <w:rPr>
          <w:rFonts w:hint="eastAsia" w:ascii="楷体_GB2312" w:eastAsia="楷体_GB2312"/>
          <w:b/>
          <w:bCs/>
          <w:szCs w:val="32"/>
          <w:lang w:eastAsia="zh-CN"/>
        </w:rPr>
      </w:pPr>
      <w:bookmarkStart w:id="14" w:name="_Toc19924"/>
      <w:bookmarkStart w:id="15" w:name="_Toc22677"/>
      <w:bookmarkStart w:id="16" w:name="_Toc26765_WPSOffice_Level3"/>
      <w:bookmarkStart w:id="17" w:name="_Toc27392_WPSOffice_Level2"/>
      <w:r>
        <w:rPr>
          <w:rFonts w:hint="eastAsia" w:ascii="楷体_GB2312" w:eastAsia="楷体_GB2312"/>
          <w:b/>
          <w:bCs/>
          <w:szCs w:val="32"/>
        </w:rPr>
        <w:t>（一）</w:t>
      </w:r>
      <w:bookmarkEnd w:id="14"/>
      <w:bookmarkEnd w:id="15"/>
      <w:bookmarkEnd w:id="16"/>
      <w:bookmarkEnd w:id="17"/>
      <w:r>
        <w:rPr>
          <w:rFonts w:hint="eastAsia" w:ascii="楷体_GB2312" w:eastAsia="楷体_GB2312"/>
          <w:b/>
          <w:bCs/>
          <w:szCs w:val="32"/>
          <w:lang w:eastAsia="zh-CN"/>
        </w:rPr>
        <w:t>履职效能</w:t>
      </w:r>
    </w:p>
    <w:p w14:paraId="5E30F48D">
      <w:pPr>
        <w:keepNext w:val="0"/>
        <w:keepLines w:val="0"/>
        <w:pageBreakBefore w:val="0"/>
        <w:widowControl w:val="0"/>
        <w:kinsoku/>
        <w:wordWrap/>
        <w:overflowPunct/>
        <w:topLinePunct w:val="0"/>
        <w:autoSpaceDE/>
        <w:autoSpaceDN/>
        <w:bidi w:val="0"/>
        <w:adjustRightInd/>
        <w:snapToGrid w:val="0"/>
        <w:spacing w:line="578" w:lineRule="exact"/>
        <w:ind w:firstLine="616" w:firstLineChars="200"/>
        <w:textAlignment w:val="auto"/>
        <w:outlineLvl w:val="9"/>
        <w:rPr>
          <w:rFonts w:hint="eastAsia" w:ascii="仿宋_GB2312" w:hAnsi="仿宋_GB2312" w:cs="仿宋_GB2312"/>
          <w:b/>
          <w:bCs/>
          <w:szCs w:val="32"/>
          <w:lang w:eastAsia="zh-CN"/>
        </w:rPr>
      </w:pPr>
      <w:bookmarkStart w:id="18" w:name="_Toc4521"/>
      <w:r>
        <w:rPr>
          <w:rFonts w:hint="eastAsia" w:cs="仿宋_GB2312"/>
          <w:b/>
          <w:bCs/>
          <w:szCs w:val="32"/>
        </w:rPr>
        <w:t>1</w:t>
      </w:r>
      <w:r>
        <w:rPr>
          <w:rFonts w:hint="eastAsia" w:ascii="仿宋_GB2312" w:hAnsi="仿宋_GB2312" w:cs="仿宋_GB2312"/>
          <w:b/>
          <w:bCs/>
          <w:szCs w:val="32"/>
        </w:rPr>
        <w:t>.</w:t>
      </w:r>
      <w:bookmarkEnd w:id="18"/>
      <w:r>
        <w:rPr>
          <w:rFonts w:hint="eastAsia" w:ascii="仿宋_GB2312" w:hAnsi="仿宋_GB2312" w:cs="仿宋_GB2312"/>
          <w:b/>
          <w:bCs/>
          <w:szCs w:val="32"/>
          <w:lang w:eastAsia="zh-CN"/>
        </w:rPr>
        <w:t>整体效能。</w:t>
      </w:r>
    </w:p>
    <w:p w14:paraId="0F3A4942">
      <w:pPr>
        <w:keepNext w:val="0"/>
        <w:keepLines w:val="0"/>
        <w:pageBreakBefore w:val="0"/>
        <w:widowControl w:val="0"/>
        <w:kinsoku/>
        <w:wordWrap/>
        <w:overflowPunct/>
        <w:topLinePunct w:val="0"/>
        <w:autoSpaceDE/>
        <w:autoSpaceDN/>
        <w:bidi w:val="0"/>
        <w:adjustRightInd/>
        <w:snapToGrid w:val="0"/>
        <w:spacing w:line="578" w:lineRule="exact"/>
        <w:ind w:firstLine="616" w:firstLineChars="200"/>
        <w:textAlignment w:val="auto"/>
        <w:outlineLvl w:val="9"/>
        <w:rPr>
          <w:rFonts w:hint="eastAsia" w:ascii="仿宋_GB2312" w:hAnsi="华文仿宋" w:cs="仿宋_GB2312"/>
          <w:szCs w:val="32"/>
          <w:lang w:eastAsia="zh-CN"/>
        </w:rPr>
      </w:pPr>
      <w:r>
        <w:rPr>
          <w:rFonts w:hint="eastAsia" w:ascii="仿宋_GB2312" w:hAnsi="华文仿宋" w:cs="仿宋_GB2312"/>
          <w:szCs w:val="32"/>
          <w:lang w:eastAsia="zh-CN"/>
        </w:rPr>
        <w:t>产出指标</w:t>
      </w:r>
      <w:r>
        <w:rPr>
          <w:rFonts w:hint="eastAsia" w:ascii="仿宋_GB2312" w:hAnsi="华文仿宋" w:cs="仿宋_GB2312"/>
          <w:szCs w:val="32"/>
          <w:lang w:val="en-US" w:eastAsia="zh-CN"/>
        </w:rPr>
        <w:t>得分为8分，</w:t>
      </w:r>
      <w:r>
        <w:rPr>
          <w:rFonts w:hint="eastAsia" w:ascii="仿宋_GB2312" w:hAnsi="华文仿宋" w:cs="仿宋_GB2312"/>
          <w:szCs w:val="32"/>
          <w:lang w:eastAsia="zh-CN"/>
        </w:rPr>
        <w:t>部分项目产出指标完成情况不理想，如党建经费、事故调查及维权工作经费、市级劳模荣誉金及体检费项目，未能完全达到预期目标。</w:t>
      </w:r>
    </w:p>
    <w:p w14:paraId="1DB84C7B">
      <w:pPr>
        <w:keepNext w:val="0"/>
        <w:keepLines w:val="0"/>
        <w:pageBreakBefore w:val="0"/>
        <w:widowControl w:val="0"/>
        <w:kinsoku/>
        <w:wordWrap/>
        <w:overflowPunct/>
        <w:topLinePunct w:val="0"/>
        <w:autoSpaceDE/>
        <w:autoSpaceDN/>
        <w:bidi w:val="0"/>
        <w:adjustRightInd/>
        <w:snapToGrid w:val="0"/>
        <w:spacing w:line="578" w:lineRule="exact"/>
        <w:ind w:firstLine="616" w:firstLineChars="200"/>
        <w:textAlignment w:val="auto"/>
        <w:outlineLvl w:val="9"/>
        <w:rPr>
          <w:rFonts w:hint="eastAsia" w:ascii="仿宋_GB2312" w:hAnsi="华文仿宋" w:cs="仿宋_GB2312"/>
          <w:szCs w:val="32"/>
          <w:lang w:eastAsia="zh-CN"/>
        </w:rPr>
      </w:pPr>
      <w:r>
        <w:rPr>
          <w:rFonts w:hint="eastAsia" w:ascii="仿宋_GB2312" w:hAnsi="华文仿宋" w:cs="仿宋_GB2312"/>
          <w:szCs w:val="32"/>
          <w:lang w:eastAsia="zh-CN"/>
        </w:rPr>
        <w:t>部门整体支出绩效目标效益指标得分为10分，完成情况相对较好，得分为10分。</w:t>
      </w:r>
    </w:p>
    <w:p w14:paraId="2D53A617">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cs="Times New Roman"/>
          <w:b/>
          <w:bCs/>
          <w:szCs w:val="32"/>
          <w:lang w:eastAsia="zh-CN"/>
        </w:rPr>
      </w:pPr>
      <w:bookmarkStart w:id="19" w:name="_Toc8156"/>
      <w:r>
        <w:rPr>
          <w:rFonts w:hint="default" w:ascii="Times New Roman" w:hAnsi="Times New Roman" w:cs="Times New Roman"/>
          <w:b/>
          <w:bCs/>
          <w:szCs w:val="32"/>
        </w:rPr>
        <w:t>2.</w:t>
      </w:r>
      <w:bookmarkEnd w:id="19"/>
      <w:r>
        <w:rPr>
          <w:rFonts w:hint="default" w:ascii="Times New Roman" w:hAnsi="Times New Roman" w:cs="Times New Roman"/>
          <w:b/>
          <w:bCs/>
          <w:szCs w:val="32"/>
          <w:lang w:eastAsia="zh-CN"/>
        </w:rPr>
        <w:t>专项效能</w:t>
      </w:r>
      <w:r>
        <w:rPr>
          <w:rFonts w:hint="eastAsia" w:cs="Times New Roman"/>
          <w:b/>
          <w:bCs/>
          <w:szCs w:val="32"/>
          <w:lang w:eastAsia="zh-CN"/>
        </w:rPr>
        <w:t>。</w:t>
      </w:r>
    </w:p>
    <w:p w14:paraId="2D941369">
      <w:pPr>
        <w:keepNext w:val="0"/>
        <w:keepLines w:val="0"/>
        <w:pageBreakBefore w:val="0"/>
        <w:widowControl w:val="0"/>
        <w:kinsoku/>
        <w:wordWrap/>
        <w:overflowPunct/>
        <w:topLinePunct w:val="0"/>
        <w:autoSpaceDE/>
        <w:autoSpaceDN/>
        <w:bidi w:val="0"/>
        <w:adjustRightInd/>
        <w:snapToGrid w:val="0"/>
        <w:spacing w:line="578" w:lineRule="exact"/>
        <w:ind w:firstLine="616" w:firstLineChars="200"/>
        <w:textAlignment w:val="auto"/>
        <w:outlineLvl w:val="9"/>
        <w:rPr>
          <w:rFonts w:hint="default" w:ascii="仿宋_GB2312" w:hAnsi="华文仿宋" w:cs="仿宋_GB2312"/>
          <w:szCs w:val="32"/>
          <w:lang w:val="en-US" w:eastAsia="zh-CN"/>
        </w:rPr>
      </w:pPr>
      <w:r>
        <w:rPr>
          <w:rFonts w:hint="default" w:ascii="仿宋_GB2312" w:hAnsi="华文仿宋" w:cs="仿宋_GB2312"/>
          <w:szCs w:val="32"/>
          <w:lang w:val="en-US" w:eastAsia="zh-CN"/>
        </w:rPr>
        <w:t>项目实施程序得分为13.35分，</w:t>
      </w:r>
      <w:r>
        <w:rPr>
          <w:rFonts w:hint="eastAsia" w:ascii="仿宋_GB2312" w:hAnsi="华文仿宋" w:cs="仿宋_GB2312"/>
          <w:szCs w:val="32"/>
          <w:lang w:val="en-US" w:eastAsia="zh-CN"/>
        </w:rPr>
        <w:t>所有</w:t>
      </w:r>
      <w:r>
        <w:rPr>
          <w:rFonts w:hint="default" w:ascii="仿宋_GB2312" w:hAnsi="华文仿宋" w:cs="仿宋_GB2312"/>
          <w:szCs w:val="32"/>
          <w:lang w:val="en-US" w:eastAsia="zh-CN"/>
        </w:rPr>
        <w:t>项目在申报、批复程序上符合相关管理办法，也按要求建立了项目库，项目实施</w:t>
      </w:r>
      <w:r>
        <w:rPr>
          <w:rFonts w:hint="eastAsia" w:ascii="仿宋_GB2312" w:hAnsi="华文仿宋" w:cs="仿宋_GB2312"/>
          <w:szCs w:val="32"/>
          <w:lang w:val="en-US" w:eastAsia="zh-CN"/>
        </w:rPr>
        <w:t>过程</w:t>
      </w:r>
      <w:r>
        <w:rPr>
          <w:rFonts w:hint="default" w:ascii="仿宋_GB2312" w:hAnsi="华文仿宋" w:cs="仿宋_GB2312"/>
          <w:szCs w:val="32"/>
          <w:lang w:val="en-US" w:eastAsia="zh-CN"/>
        </w:rPr>
        <w:t>规范。</w:t>
      </w:r>
    </w:p>
    <w:p w14:paraId="3819CBF2">
      <w:pPr>
        <w:keepNext w:val="0"/>
        <w:keepLines w:val="0"/>
        <w:pageBreakBefore w:val="0"/>
        <w:widowControl w:val="0"/>
        <w:kinsoku/>
        <w:wordWrap/>
        <w:overflowPunct/>
        <w:topLinePunct w:val="0"/>
        <w:autoSpaceDE/>
        <w:autoSpaceDN/>
        <w:bidi w:val="0"/>
        <w:adjustRightInd/>
        <w:snapToGrid w:val="0"/>
        <w:spacing w:line="578" w:lineRule="exact"/>
        <w:ind w:firstLine="616" w:firstLineChars="200"/>
        <w:textAlignment w:val="auto"/>
        <w:outlineLvl w:val="9"/>
        <w:rPr>
          <w:rFonts w:hint="default" w:ascii="仿宋_GB2312" w:hAnsi="华文仿宋" w:cs="仿宋_GB2312"/>
          <w:szCs w:val="32"/>
          <w:lang w:val="en-US" w:eastAsia="zh-CN"/>
        </w:rPr>
      </w:pPr>
      <w:r>
        <w:rPr>
          <w:rFonts w:hint="default" w:ascii="仿宋_GB2312" w:hAnsi="华文仿宋" w:cs="仿宋_GB2312"/>
          <w:szCs w:val="32"/>
          <w:lang w:val="en-US" w:eastAsia="zh-CN"/>
        </w:rPr>
        <w:t>项目监管：项目监管得分为5分，本部门对所实施项目进行了一定的监控和督促管理，但监管力度和效果有待进一步加强，特别是在项目实施过程中的动态监管方面，还需完善相关机制。</w:t>
      </w:r>
    </w:p>
    <w:p w14:paraId="5C257763">
      <w:pPr>
        <w:keepNext w:val="0"/>
        <w:keepLines w:val="0"/>
        <w:pageBreakBefore w:val="0"/>
        <w:widowControl w:val="0"/>
        <w:kinsoku/>
        <w:wordWrap/>
        <w:overflowPunct/>
        <w:topLinePunct w:val="0"/>
        <w:autoSpaceDE/>
        <w:autoSpaceDN/>
        <w:bidi w:val="0"/>
        <w:adjustRightInd/>
        <w:spacing w:line="578" w:lineRule="exact"/>
        <w:ind w:firstLine="616" w:firstLineChars="200"/>
        <w:textAlignment w:val="auto"/>
        <w:outlineLvl w:val="9"/>
        <w:rPr>
          <w:rFonts w:hint="eastAsia" w:ascii="楷体_GB2312" w:eastAsia="楷体_GB2312"/>
          <w:b/>
          <w:bCs/>
          <w:szCs w:val="32"/>
          <w:lang w:eastAsia="zh-CN"/>
        </w:rPr>
      </w:pPr>
      <w:bookmarkStart w:id="20" w:name="_Toc5828_WPSOffice_Level3"/>
      <w:bookmarkStart w:id="21" w:name="_Toc19200_WPSOffice_Level2"/>
      <w:bookmarkStart w:id="22" w:name="_Toc32482"/>
      <w:bookmarkStart w:id="23" w:name="_Toc13662"/>
      <w:r>
        <w:rPr>
          <w:rFonts w:hint="eastAsia" w:ascii="楷体_GB2312" w:eastAsia="楷体_GB2312"/>
          <w:b/>
          <w:bCs/>
          <w:szCs w:val="32"/>
        </w:rPr>
        <w:t>（二）</w:t>
      </w:r>
      <w:bookmarkEnd w:id="20"/>
      <w:bookmarkEnd w:id="21"/>
      <w:bookmarkEnd w:id="22"/>
      <w:bookmarkEnd w:id="23"/>
      <w:r>
        <w:rPr>
          <w:rFonts w:hint="eastAsia" w:ascii="楷体_GB2312" w:eastAsia="楷体_GB2312"/>
          <w:b/>
          <w:bCs/>
          <w:szCs w:val="32"/>
          <w:lang w:eastAsia="zh-CN"/>
        </w:rPr>
        <w:t>管理效率</w:t>
      </w:r>
    </w:p>
    <w:p w14:paraId="0D60A66E">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b/>
          <w:bCs/>
          <w:szCs w:val="32"/>
        </w:rPr>
      </w:pPr>
      <w:r>
        <w:rPr>
          <w:rFonts w:hint="eastAsia" w:cs="仿宋_GB2312"/>
          <w:b/>
          <w:bCs/>
          <w:szCs w:val="32"/>
        </w:rPr>
        <w:t>1</w:t>
      </w:r>
      <w:r>
        <w:rPr>
          <w:rFonts w:hint="eastAsia" w:ascii="仿宋_GB2312" w:hAnsi="仿宋_GB2312" w:cs="仿宋_GB2312"/>
          <w:b/>
          <w:bCs/>
          <w:szCs w:val="32"/>
        </w:rPr>
        <w:t>.</w:t>
      </w:r>
      <w:r>
        <w:rPr>
          <w:rFonts w:hint="eastAsia" w:ascii="仿宋_GB2312" w:hAnsi="仿宋_GB2312" w:cs="仿宋_GB2312"/>
          <w:b/>
          <w:bCs/>
          <w:szCs w:val="32"/>
          <w:lang w:eastAsia="zh-CN"/>
        </w:rPr>
        <w:t>预算编制</w:t>
      </w:r>
      <w:r>
        <w:rPr>
          <w:rFonts w:hint="eastAsia" w:ascii="仿宋_GB2312" w:hAnsi="仿宋_GB2312" w:cs="仿宋_GB2312"/>
          <w:b/>
          <w:bCs/>
          <w:szCs w:val="32"/>
        </w:rPr>
        <w:t>。</w:t>
      </w:r>
    </w:p>
    <w:p w14:paraId="6D5A9B72">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bCs/>
          <w:szCs w:val="32"/>
        </w:rPr>
      </w:pPr>
      <w:r>
        <w:rPr>
          <w:rFonts w:hint="eastAsia" w:ascii="仿宋_GB2312" w:hAnsi="仿宋_GB2312" w:cs="仿宋_GB2312"/>
          <w:bCs/>
          <w:szCs w:val="32"/>
        </w:rPr>
        <w:t>新增预算项目事前绩效评估得分为0分，</w:t>
      </w:r>
      <w:r>
        <w:rPr>
          <w:rFonts w:hint="eastAsia" w:ascii="仿宋_GB2312" w:hAnsi="仿宋_GB2312" w:cs="仿宋_GB2312"/>
          <w:bCs/>
          <w:szCs w:val="32"/>
          <w:lang w:val="en-US" w:eastAsia="zh-CN"/>
        </w:rPr>
        <w:t>年初只填写了事前绩效评估表，未聘请专家进行专业的评审</w:t>
      </w:r>
      <w:r>
        <w:rPr>
          <w:rFonts w:hint="eastAsia" w:ascii="仿宋_GB2312" w:hAnsi="仿宋_GB2312" w:cs="仿宋_GB2312"/>
          <w:bCs/>
          <w:szCs w:val="32"/>
        </w:rPr>
        <w:t>。</w:t>
      </w:r>
    </w:p>
    <w:p w14:paraId="78FCCD25">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bCs/>
          <w:szCs w:val="32"/>
        </w:rPr>
      </w:pPr>
      <w:r>
        <w:rPr>
          <w:rFonts w:hint="eastAsia" w:ascii="仿宋_GB2312" w:hAnsi="仿宋_GB2312" w:cs="仿宋_GB2312"/>
          <w:bCs/>
          <w:szCs w:val="32"/>
        </w:rPr>
        <w:t>预算编制总体情况得分为2 分，预算申请符合本部门职责和相关要求。</w:t>
      </w:r>
    </w:p>
    <w:p w14:paraId="6E5A2773">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pPr>
      <w:r>
        <w:rPr>
          <w:rFonts w:hint="eastAsia" w:ascii="仿宋_GB2312" w:hAnsi="仿宋_GB2312" w:cs="仿宋_GB2312"/>
          <w:bCs/>
          <w:szCs w:val="32"/>
        </w:rPr>
        <w:t>绩效目标设置得分为1分，绩效目标设置的合理性、规范性不足，部分项目绩效目标不够明确、具体，难以有效指导项目实施和绩效评价工作，需进一步优化绩效目标设置流程，提高绩效目标的科学性和可操作性。</w:t>
      </w:r>
    </w:p>
    <w:p w14:paraId="234ED004">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b/>
          <w:bCs/>
          <w:szCs w:val="32"/>
        </w:rPr>
      </w:pPr>
      <w:bookmarkStart w:id="24" w:name="_Toc3319"/>
      <w:r>
        <w:rPr>
          <w:rFonts w:hint="eastAsia" w:ascii="仿宋_GB2312" w:hAnsi="仿宋_GB2312" w:cs="仿宋_GB2312"/>
          <w:b/>
          <w:bCs/>
          <w:szCs w:val="32"/>
          <w:lang w:eastAsia="zh-CN"/>
        </w:rPr>
        <w:t>预算执行</w:t>
      </w:r>
      <w:r>
        <w:rPr>
          <w:rFonts w:hint="eastAsia" w:ascii="仿宋_GB2312" w:hAnsi="仿宋_GB2312" w:cs="仿宋_GB2312"/>
          <w:b/>
          <w:bCs/>
          <w:szCs w:val="32"/>
        </w:rPr>
        <w:t>。</w:t>
      </w:r>
      <w:bookmarkEnd w:id="24"/>
    </w:p>
    <w:p w14:paraId="4348158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bCs/>
          <w:szCs w:val="32"/>
        </w:rPr>
      </w:pPr>
      <w:r>
        <w:rPr>
          <w:rFonts w:hint="eastAsia" w:ascii="仿宋_GB2312" w:hAnsi="仿宋_GB2312" w:cs="仿宋_GB2312"/>
          <w:bCs/>
          <w:szCs w:val="32"/>
        </w:rPr>
        <w:t>预算编制约束性得分为1分，存在预算调剂、年中追加资金等情况，这反映出</w:t>
      </w:r>
      <w:r>
        <w:rPr>
          <w:rFonts w:hint="eastAsia" w:ascii="仿宋_GB2312" w:hAnsi="仿宋_GB2312" w:cs="仿宋_GB2312"/>
          <w:bCs/>
          <w:szCs w:val="32"/>
          <w:lang w:val="en-US" w:eastAsia="zh-CN"/>
        </w:rPr>
        <w:t>本单位</w:t>
      </w:r>
      <w:r>
        <w:rPr>
          <w:rFonts w:hint="eastAsia" w:ascii="仿宋_GB2312" w:hAnsi="仿宋_GB2312" w:cs="仿宋_GB2312"/>
          <w:bCs/>
          <w:szCs w:val="32"/>
        </w:rPr>
        <w:t>预算编制与实际需求存在一定偏差，预算约束力不够强，需加强预算执行管理，严格控制预算调整，提高预算执行的严肃性。</w:t>
      </w:r>
    </w:p>
    <w:p w14:paraId="3FAE0DE5">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bCs/>
          <w:szCs w:val="32"/>
        </w:rPr>
      </w:pPr>
      <w:r>
        <w:rPr>
          <w:rFonts w:hint="eastAsia" w:ascii="仿宋_GB2312" w:hAnsi="仿宋_GB2312" w:cs="仿宋_GB2312"/>
          <w:bCs/>
          <w:szCs w:val="32"/>
        </w:rPr>
        <w:t>资金分配及时性得分为2分，部门分配其主管的资金基本做到了及时性要求。</w:t>
      </w:r>
    </w:p>
    <w:p w14:paraId="5B176AD2">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ascii="仿宋_GB2312" w:hAnsi="仿宋_GB2312" w:cs="仿宋_GB2312"/>
          <w:bCs/>
          <w:szCs w:val="32"/>
        </w:rPr>
      </w:pPr>
      <w:r>
        <w:rPr>
          <w:rFonts w:hint="eastAsia" w:ascii="仿宋_GB2312" w:hAnsi="仿宋_GB2312" w:cs="仿宋_GB2312"/>
          <w:bCs/>
          <w:szCs w:val="32"/>
        </w:rPr>
        <w:t>财务管理合规性得分为2分，部门财务管理基本规范。</w:t>
      </w:r>
    </w:p>
    <w:p w14:paraId="44842A99">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b/>
          <w:bCs/>
          <w:szCs w:val="32"/>
        </w:rPr>
      </w:pPr>
      <w:bookmarkStart w:id="25" w:name="_Toc29827"/>
      <w:r>
        <w:rPr>
          <w:rFonts w:hint="eastAsia" w:cs="仿宋_GB2312"/>
          <w:b/>
          <w:bCs/>
          <w:szCs w:val="32"/>
        </w:rPr>
        <w:t>3</w:t>
      </w:r>
      <w:r>
        <w:rPr>
          <w:rFonts w:hint="eastAsia" w:ascii="仿宋_GB2312" w:hAnsi="仿宋_GB2312" w:cs="仿宋_GB2312"/>
          <w:b/>
          <w:bCs/>
          <w:szCs w:val="32"/>
        </w:rPr>
        <w:t>.</w:t>
      </w:r>
      <w:r>
        <w:rPr>
          <w:rFonts w:hint="eastAsia" w:ascii="仿宋_GB2312" w:hAnsi="仿宋_GB2312" w:cs="仿宋_GB2312"/>
          <w:b/>
          <w:bCs/>
          <w:szCs w:val="32"/>
          <w:lang w:eastAsia="zh-CN"/>
        </w:rPr>
        <w:t>信息公开</w:t>
      </w:r>
      <w:r>
        <w:rPr>
          <w:rFonts w:hint="eastAsia" w:ascii="仿宋_GB2312" w:hAnsi="仿宋_GB2312" w:cs="仿宋_GB2312"/>
          <w:b/>
          <w:bCs/>
          <w:szCs w:val="32"/>
        </w:rPr>
        <w:t>。</w:t>
      </w:r>
      <w:bookmarkEnd w:id="25"/>
    </w:p>
    <w:p w14:paraId="0B013019">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szCs w:val="32"/>
        </w:rPr>
      </w:pPr>
      <w:r>
        <w:rPr>
          <w:rFonts w:hint="eastAsia" w:ascii="仿宋_GB2312" w:hAnsi="仿宋_GB2312" w:cs="仿宋_GB2312"/>
          <w:szCs w:val="32"/>
        </w:rPr>
        <w:t>预决算公开合规性得分为2分，部门预决算公开基本执行到位，公开内容的完整、准确、及时。</w:t>
      </w:r>
    </w:p>
    <w:p w14:paraId="311D809B">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ascii="仿宋_GB2312" w:hAnsi="仿宋_GB2312" w:cs="仿宋_GB2312"/>
          <w:szCs w:val="32"/>
        </w:rPr>
      </w:pPr>
      <w:r>
        <w:rPr>
          <w:rFonts w:hint="eastAsia" w:ascii="仿宋_GB2312" w:hAnsi="仿宋_GB2312" w:cs="仿宋_GB2312"/>
          <w:szCs w:val="32"/>
        </w:rPr>
        <w:t>绩效信息公开情况得分为1分，绩效信息公开执行不到位，部分项目绩效信息未及时、准确公开，影响了社会公众对部门绩效的了解和监督，需进一步完善绩效信息公开机制，提高绩效信息公开的透明度和公信力。</w:t>
      </w:r>
    </w:p>
    <w:p w14:paraId="68528530">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b/>
          <w:bCs/>
          <w:szCs w:val="32"/>
        </w:rPr>
      </w:pPr>
      <w:bookmarkStart w:id="26" w:name="_Toc3788"/>
      <w:r>
        <w:rPr>
          <w:rFonts w:hint="eastAsia" w:cs="仿宋_GB2312"/>
          <w:b/>
          <w:bCs/>
          <w:szCs w:val="32"/>
        </w:rPr>
        <w:t>4</w:t>
      </w:r>
      <w:r>
        <w:rPr>
          <w:rFonts w:hint="eastAsia" w:ascii="仿宋_GB2312" w:hAnsi="仿宋_GB2312" w:cs="仿宋_GB2312"/>
          <w:b/>
          <w:bCs/>
          <w:szCs w:val="32"/>
        </w:rPr>
        <w:t>.</w:t>
      </w:r>
      <w:r>
        <w:rPr>
          <w:rFonts w:hint="eastAsia" w:ascii="仿宋_GB2312" w:hAnsi="仿宋_GB2312" w:cs="仿宋_GB2312"/>
          <w:b/>
          <w:bCs/>
          <w:szCs w:val="32"/>
          <w:lang w:eastAsia="zh-CN"/>
        </w:rPr>
        <w:t>绩效</w:t>
      </w:r>
      <w:r>
        <w:rPr>
          <w:rFonts w:hint="eastAsia" w:ascii="仿宋_GB2312" w:hAnsi="仿宋_GB2312" w:cs="仿宋_GB2312"/>
          <w:b/>
          <w:bCs/>
          <w:szCs w:val="32"/>
        </w:rPr>
        <w:t>管理。</w:t>
      </w:r>
      <w:bookmarkEnd w:id="26"/>
    </w:p>
    <w:p w14:paraId="1D1B8632">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绩效管理制度建设得分为5分，部门在绩效目标管理、绩效运行监控、绩效评价管理和绩效结果应用等方面建立了一定的预算绩效管理制度。</w:t>
      </w:r>
    </w:p>
    <w:p w14:paraId="101A3558">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绩效管理执行情况得分为3分，绩效管理制度的执行力度不够强，部分环节存在执行不到位的情况，如绩效运行监控不够及时、有效，绩效评价结果应用不充分等，需进一步加强绩效管理执行力度，确保绩效管理制度的有效落实。</w:t>
      </w:r>
    </w:p>
    <w:p w14:paraId="448DD1CE">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ascii="仿宋_GB2312" w:hAnsi="仿宋_GB2312" w:eastAsia="仿宋_GB2312" w:cs="仿宋_GB2312"/>
          <w:szCs w:val="32"/>
          <w:lang w:eastAsia="zh-CN"/>
        </w:rPr>
      </w:pPr>
      <w:r>
        <w:rPr>
          <w:rFonts w:hint="eastAsia" w:ascii="仿宋_GB2312" w:hAnsi="仿宋_GB2312" w:cs="仿宋_GB2312"/>
          <w:szCs w:val="32"/>
          <w:lang w:eastAsia="zh-CN"/>
        </w:rPr>
        <w:t>绩效结果反馈处理情况得分为5分，</w:t>
      </w:r>
      <w:r>
        <w:rPr>
          <w:rFonts w:hint="eastAsia" w:ascii="仿宋_GB2312" w:hAnsi="仿宋_GB2312" w:cs="仿宋_GB2312"/>
          <w:szCs w:val="32"/>
          <w:lang w:val="en-US" w:eastAsia="zh-CN"/>
        </w:rPr>
        <w:t>部门会</w:t>
      </w:r>
      <w:r>
        <w:rPr>
          <w:rFonts w:hint="eastAsia" w:ascii="仿宋_GB2312" w:hAnsi="仿宋_GB2312" w:cs="仿宋_GB2312"/>
          <w:szCs w:val="32"/>
          <w:lang w:eastAsia="zh-CN"/>
        </w:rPr>
        <w:t>及时反馈处理监控预警提醒信息、及时将重点评价整改情况反馈财政部门。</w:t>
      </w:r>
    </w:p>
    <w:p w14:paraId="1704D018">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default" w:ascii="Times New Roman" w:hAnsi="Times New Roman" w:cs="Times New Roman"/>
          <w:b/>
          <w:bCs/>
          <w:szCs w:val="32"/>
          <w:lang w:val="en-US" w:eastAsia="zh-CN"/>
        </w:rPr>
      </w:pPr>
      <w:r>
        <w:rPr>
          <w:rFonts w:hint="default" w:ascii="Times New Roman" w:hAnsi="Times New Roman" w:cs="Times New Roman"/>
          <w:b/>
          <w:bCs/>
          <w:szCs w:val="32"/>
          <w:lang w:val="en-US" w:eastAsia="zh-CN"/>
        </w:rPr>
        <w:t>5.采购管理。</w:t>
      </w:r>
    </w:p>
    <w:p w14:paraId="792AEB05">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政府采购预算编制情况得分为1分，在编制财政年度部门预算时</w:t>
      </w:r>
      <w:r>
        <w:rPr>
          <w:rFonts w:hint="eastAsia" w:cs="Times New Roman"/>
          <w:szCs w:val="32"/>
          <w:lang w:val="en-US" w:eastAsia="zh-CN"/>
        </w:rPr>
        <w:t>，</w:t>
      </w:r>
      <w:r>
        <w:rPr>
          <w:rFonts w:hint="default" w:ascii="Times New Roman" w:hAnsi="Times New Roman" w:cs="Times New Roman"/>
          <w:szCs w:val="32"/>
          <w:lang w:val="en-US" w:eastAsia="zh-CN"/>
        </w:rPr>
        <w:t>按规定编制</w:t>
      </w:r>
      <w:r>
        <w:rPr>
          <w:rFonts w:hint="eastAsia" w:cs="Times New Roman"/>
          <w:szCs w:val="32"/>
          <w:lang w:val="en-US" w:eastAsia="zh-CN"/>
        </w:rPr>
        <w:t>了</w:t>
      </w:r>
      <w:r>
        <w:rPr>
          <w:rFonts w:hint="default" w:ascii="Times New Roman" w:hAnsi="Times New Roman" w:cs="Times New Roman"/>
          <w:szCs w:val="32"/>
          <w:lang w:val="en-US" w:eastAsia="zh-CN"/>
        </w:rPr>
        <w:t>政府采购预算。</w:t>
      </w:r>
    </w:p>
    <w:p w14:paraId="5625176C">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采购合理性得分为1分，采购需求、采购方式合理</w:t>
      </w:r>
      <w:r>
        <w:rPr>
          <w:rFonts w:hint="eastAsia" w:cs="Times New Roman"/>
          <w:szCs w:val="32"/>
          <w:lang w:val="en-US" w:eastAsia="zh-CN"/>
        </w:rPr>
        <w:t>、合规</w:t>
      </w:r>
      <w:r>
        <w:rPr>
          <w:rFonts w:hint="default" w:ascii="Times New Roman" w:hAnsi="Times New Roman" w:cs="Times New Roman"/>
          <w:szCs w:val="32"/>
          <w:lang w:val="en-US" w:eastAsia="zh-CN"/>
        </w:rPr>
        <w:t>。</w:t>
      </w:r>
    </w:p>
    <w:p w14:paraId="3D767E18">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采购内控制度建设得分为1分，建立</w:t>
      </w:r>
      <w:r>
        <w:rPr>
          <w:rFonts w:hint="eastAsia" w:cs="Times New Roman"/>
          <w:szCs w:val="32"/>
          <w:lang w:val="en-US" w:eastAsia="zh-CN"/>
        </w:rPr>
        <w:t>了单位</w:t>
      </w:r>
      <w:r>
        <w:rPr>
          <w:rFonts w:hint="default" w:ascii="Times New Roman" w:hAnsi="Times New Roman" w:cs="Times New Roman"/>
          <w:szCs w:val="32"/>
          <w:lang w:val="en-US" w:eastAsia="zh-CN"/>
        </w:rPr>
        <w:t>采购内部控制管理制度。</w:t>
      </w:r>
    </w:p>
    <w:p w14:paraId="38AFF7F9">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default" w:ascii="Times New Roman" w:hAnsi="Times New Roman" w:cs="Times New Roman"/>
          <w:szCs w:val="32"/>
          <w:lang w:val="en-US" w:eastAsia="zh-CN"/>
        </w:rPr>
      </w:pPr>
      <w:r>
        <w:rPr>
          <w:rFonts w:hint="default" w:ascii="Times New Roman" w:hAnsi="Times New Roman" w:cs="Times New Roman"/>
          <w:b/>
          <w:bCs/>
          <w:szCs w:val="32"/>
          <w:lang w:val="en-US" w:eastAsia="zh-CN"/>
        </w:rPr>
        <w:t>6.资产管理。</w:t>
      </w:r>
    </w:p>
    <w:p w14:paraId="2DB57150">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r>
        <w:rPr>
          <w:rFonts w:hint="default"/>
          <w:lang w:val="en-US" w:eastAsia="zh-CN"/>
        </w:rPr>
        <w:t>资产配置合规性得分为2分，单位办公室面积和办公设备配置符合规定标准，资产配置合理。</w:t>
      </w:r>
    </w:p>
    <w:p w14:paraId="4AA25D4A">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r>
        <w:rPr>
          <w:rFonts w:hint="default"/>
          <w:lang w:val="en-US" w:eastAsia="zh-CN"/>
        </w:rPr>
        <w:t>资产收益上缴的及时性得分为1分，资产处置和使用收益上缴及时足额上缴。</w:t>
      </w:r>
    </w:p>
    <w:p w14:paraId="28BA57D4">
      <w:pPr>
        <w:pStyle w:val="2"/>
        <w:keepNext w:val="0"/>
        <w:keepLines w:val="0"/>
        <w:pageBreakBefore w:val="0"/>
        <w:kinsoku/>
        <w:wordWrap/>
        <w:overflowPunct/>
        <w:topLinePunct w:val="0"/>
        <w:autoSpaceDE/>
        <w:autoSpaceDN/>
        <w:bidi w:val="0"/>
        <w:adjustRightInd/>
        <w:spacing w:line="578" w:lineRule="exact"/>
        <w:textAlignment w:val="auto"/>
        <w:rPr>
          <w:rFonts w:hint="default"/>
          <w:lang w:val="en-US" w:eastAsia="zh-CN"/>
        </w:rPr>
      </w:pPr>
      <w:r>
        <w:rPr>
          <w:rFonts w:hint="default"/>
          <w:lang w:val="en-US" w:eastAsia="zh-CN"/>
        </w:rPr>
        <w:t>数据质量得分为2分，部门行政事业性国有资产年报数据完整、准确，且资产账与财务账、资产实体相符。</w:t>
      </w:r>
    </w:p>
    <w:p w14:paraId="3F04E4B1">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default" w:ascii="Times New Roman" w:hAnsi="Times New Roman" w:cs="Times New Roman"/>
          <w:b/>
          <w:bCs/>
          <w:szCs w:val="32"/>
          <w:lang w:val="en-US" w:eastAsia="zh-CN"/>
        </w:rPr>
      </w:pPr>
      <w:r>
        <w:rPr>
          <w:rFonts w:hint="default" w:ascii="Times New Roman" w:hAnsi="Times New Roman" w:cs="Times New Roman"/>
          <w:b/>
          <w:bCs/>
          <w:szCs w:val="32"/>
          <w:lang w:val="en-US" w:eastAsia="zh-CN"/>
        </w:rPr>
        <w:t>7.运行成本。</w:t>
      </w:r>
    </w:p>
    <w:p w14:paraId="12D9C153">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eastAsia" w:cs="Times New Roman"/>
          <w:szCs w:val="32"/>
          <w:lang w:val="en-US" w:eastAsia="zh-CN"/>
        </w:rPr>
      </w:pPr>
      <w:r>
        <w:rPr>
          <w:rFonts w:hint="eastAsia" w:cs="Times New Roman"/>
          <w:szCs w:val="32"/>
          <w:lang w:val="en-US" w:eastAsia="zh-CN"/>
        </w:rPr>
        <w:t>公用经费控制情况得分为5分，日常公用经费实际支出数≤预算安排的日常公用经费数。</w:t>
      </w:r>
    </w:p>
    <w:p w14:paraId="2708029A">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outlineLvl w:val="9"/>
        <w:rPr>
          <w:rFonts w:hint="default" w:ascii="Times New Roman" w:hAnsi="Times New Roman" w:cs="Times New Roman"/>
          <w:szCs w:val="32"/>
          <w:lang w:val="en-US" w:eastAsia="zh-CN"/>
        </w:rPr>
      </w:pPr>
      <w:r>
        <w:rPr>
          <w:rFonts w:hint="eastAsia" w:cs="Times New Roman"/>
          <w:szCs w:val="32"/>
          <w:lang w:val="en-US" w:eastAsia="zh-CN"/>
        </w:rPr>
        <w:t>“三公”经费控制情况得分为5分，“三公”经费实际支出数≤预算安排的“三公”经费数。</w:t>
      </w:r>
    </w:p>
    <w:p w14:paraId="01C4D300">
      <w:pPr>
        <w:keepNext w:val="0"/>
        <w:keepLines w:val="0"/>
        <w:pageBreakBefore w:val="0"/>
        <w:widowControl w:val="0"/>
        <w:kinsoku/>
        <w:wordWrap/>
        <w:overflowPunct/>
        <w:topLinePunct w:val="0"/>
        <w:autoSpaceDE/>
        <w:autoSpaceDN/>
        <w:bidi w:val="0"/>
        <w:adjustRightInd/>
        <w:spacing w:line="578" w:lineRule="exact"/>
        <w:ind w:firstLine="616" w:firstLineChars="200"/>
        <w:textAlignment w:val="auto"/>
        <w:outlineLvl w:val="9"/>
        <w:rPr>
          <w:rFonts w:ascii="方正小标宋简体" w:eastAsia="方正小标宋简体"/>
        </w:rPr>
      </w:pPr>
      <w:bookmarkStart w:id="27" w:name="_Toc18975"/>
      <w:r>
        <w:rPr>
          <w:rFonts w:hint="eastAsia" w:ascii="方正小标宋简体" w:eastAsia="方正小标宋简体"/>
        </w:rPr>
        <w:t>四、存在的问题、原因分析及改进措施</w:t>
      </w:r>
    </w:p>
    <w:p w14:paraId="7C7E2CEF">
      <w:pPr>
        <w:keepNext w:val="0"/>
        <w:keepLines w:val="0"/>
        <w:pageBreakBefore w:val="0"/>
        <w:widowControl w:val="0"/>
        <w:kinsoku/>
        <w:wordWrap/>
        <w:overflowPunct/>
        <w:topLinePunct w:val="0"/>
        <w:autoSpaceDE/>
        <w:autoSpaceDN/>
        <w:bidi w:val="0"/>
        <w:adjustRightInd/>
        <w:spacing w:line="578" w:lineRule="exact"/>
        <w:ind w:firstLine="616" w:firstLineChars="200"/>
        <w:textAlignment w:val="auto"/>
        <w:outlineLvl w:val="9"/>
        <w:rPr>
          <w:rFonts w:hint="eastAsia"/>
        </w:rPr>
      </w:pPr>
      <w:r>
        <w:rPr>
          <w:rFonts w:hint="eastAsia"/>
          <w:lang w:val="en-US" w:eastAsia="zh-CN"/>
        </w:rPr>
        <w:t>1.存在问题:一是</w:t>
      </w:r>
      <w:r>
        <w:rPr>
          <w:rFonts w:hint="eastAsia"/>
        </w:rPr>
        <w:t>部分项目产出指标完成情况不理想，绩效目标设置不合理、不规范，影响了绩效管理工作质量</w:t>
      </w:r>
      <w:r>
        <w:rPr>
          <w:rFonts w:hint="eastAsia"/>
          <w:lang w:val="en-US" w:eastAsia="zh-CN"/>
        </w:rPr>
        <w:t>,</w:t>
      </w:r>
      <w:r>
        <w:rPr>
          <w:rFonts w:hint="eastAsia"/>
        </w:rPr>
        <w:t>如党建经费、事故调查及维权工作经费、市级劳模荣誉金及体检费项目。</w:t>
      </w:r>
      <w:r>
        <w:rPr>
          <w:rFonts w:hint="eastAsia"/>
          <w:lang w:val="en-US" w:eastAsia="zh-CN"/>
        </w:rPr>
        <w:t>二是</w:t>
      </w:r>
      <w:r>
        <w:rPr>
          <w:rFonts w:hint="eastAsia"/>
        </w:rPr>
        <w:t>预算编制约束性不足，存在预算调剂、年中追加资金等情况</w:t>
      </w:r>
      <w:r>
        <w:rPr>
          <w:rFonts w:hint="eastAsia"/>
          <w:lang w:eastAsia="zh-CN"/>
        </w:rPr>
        <w:t>，</w:t>
      </w:r>
      <w:r>
        <w:rPr>
          <w:rFonts w:hint="eastAsia"/>
        </w:rPr>
        <w:t>如</w:t>
      </w:r>
      <w:r>
        <w:rPr>
          <w:rFonts w:hint="eastAsia" w:ascii="仿宋_GB2312" w:eastAsia="仿宋_GB2312"/>
          <w:sz w:val="32"/>
          <w:lang w:val="en-US" w:eastAsia="zh-CN"/>
        </w:rPr>
        <w:t>职工疗休养及职工运动会专项</w:t>
      </w:r>
      <w:r>
        <w:rPr>
          <w:rFonts w:hint="eastAsia" w:ascii="仿宋_GB2312"/>
          <w:sz w:val="32"/>
          <w:lang w:val="en-US" w:eastAsia="zh-CN"/>
        </w:rPr>
        <w:t>资金</w:t>
      </w:r>
      <w:r>
        <w:rPr>
          <w:rFonts w:hint="eastAsia"/>
        </w:rPr>
        <w:t>。</w:t>
      </w:r>
    </w:p>
    <w:p w14:paraId="49735C7A">
      <w:pPr>
        <w:pStyle w:val="2"/>
        <w:keepNext w:val="0"/>
        <w:keepLines w:val="0"/>
        <w:pageBreakBefore w:val="0"/>
        <w:kinsoku/>
        <w:wordWrap/>
        <w:overflowPunct/>
        <w:topLinePunct w:val="0"/>
        <w:autoSpaceDE/>
        <w:autoSpaceDN/>
        <w:bidi w:val="0"/>
        <w:adjustRightInd/>
        <w:spacing w:line="578" w:lineRule="exact"/>
        <w:textAlignment w:val="auto"/>
        <w:rPr>
          <w:rFonts w:hint="default"/>
          <w:lang w:val="en-US" w:eastAsia="zh-CN"/>
        </w:rPr>
      </w:pPr>
      <w:r>
        <w:rPr>
          <w:rFonts w:hint="eastAsia"/>
          <w:lang w:val="en-US" w:eastAsia="zh-CN"/>
        </w:rPr>
        <w:t>2.改进措施：一是</w:t>
      </w:r>
      <w:r>
        <w:rPr>
          <w:rFonts w:hint="default"/>
          <w:lang w:val="en-US" w:eastAsia="zh-CN"/>
        </w:rPr>
        <w:t>加强项目前期规划和论证，明确项目目标和任务，提高项目实施的科学性和有效性。</w:t>
      </w:r>
      <w:r>
        <w:rPr>
          <w:rFonts w:hint="eastAsia"/>
          <w:lang w:val="en-US" w:eastAsia="zh-CN"/>
        </w:rPr>
        <w:t>二是</w:t>
      </w:r>
      <w:r>
        <w:rPr>
          <w:rFonts w:hint="default"/>
          <w:lang w:val="en-US" w:eastAsia="zh-CN"/>
        </w:rPr>
        <w:t>加强绩效管理培训，提高部门工作人员对绩效目标设置重要性的认识，优化绩效目标设置流程，提高绩效目标的科学性和可操作性。</w:t>
      </w:r>
      <w:r>
        <w:rPr>
          <w:rFonts w:hint="eastAsia"/>
          <w:lang w:val="en-US" w:eastAsia="zh-CN"/>
        </w:rPr>
        <w:t>三是</w:t>
      </w:r>
      <w:r>
        <w:rPr>
          <w:rFonts w:hint="default"/>
          <w:lang w:val="en-US" w:eastAsia="zh-CN"/>
        </w:rPr>
        <w:t>加强预算编制管理，提高预算编制的科学性和准确性，严格控制预算调整，增强预算编制约束性。</w:t>
      </w:r>
    </w:p>
    <w:p w14:paraId="68121882">
      <w:pPr>
        <w:keepNext w:val="0"/>
        <w:keepLines w:val="0"/>
        <w:pageBreakBefore w:val="0"/>
        <w:widowControl w:val="0"/>
        <w:kinsoku/>
        <w:wordWrap/>
        <w:overflowPunct/>
        <w:topLinePunct w:val="0"/>
        <w:autoSpaceDE/>
        <w:autoSpaceDN/>
        <w:bidi w:val="0"/>
        <w:adjustRightInd/>
        <w:spacing w:line="578" w:lineRule="exact"/>
        <w:ind w:firstLine="616" w:firstLineChars="200"/>
        <w:textAlignment w:val="auto"/>
        <w:outlineLvl w:val="9"/>
        <w:rPr>
          <w:rFonts w:ascii="方正小标宋简体" w:eastAsia="方正小标宋简体"/>
        </w:rPr>
      </w:pPr>
      <w:r>
        <w:rPr>
          <w:rFonts w:hint="eastAsia" w:ascii="方正小标宋简体" w:eastAsia="方正小标宋简体"/>
        </w:rPr>
        <w:t>五、其他需要说明的情况</w:t>
      </w:r>
    </w:p>
    <w:p w14:paraId="5CD365AD">
      <w:pPr>
        <w:keepNext w:val="0"/>
        <w:keepLines w:val="0"/>
        <w:pageBreakBefore w:val="0"/>
        <w:widowControl w:val="0"/>
        <w:kinsoku/>
        <w:wordWrap/>
        <w:overflowPunct/>
        <w:topLinePunct w:val="0"/>
        <w:autoSpaceDE/>
        <w:autoSpaceDN/>
        <w:bidi w:val="0"/>
        <w:adjustRightInd/>
        <w:spacing w:line="578" w:lineRule="exact"/>
        <w:ind w:firstLine="616" w:firstLineChars="200"/>
        <w:textAlignment w:val="auto"/>
        <w:outlineLvl w:val="9"/>
      </w:pPr>
      <w:r>
        <w:rPr>
          <w:rFonts w:hint="eastAsia"/>
          <w:lang w:val="en-US" w:eastAsia="zh-CN"/>
        </w:rPr>
        <w:t>无</w:t>
      </w:r>
    </w:p>
    <w:bookmarkEnd w:id="27"/>
    <w:p w14:paraId="3F61EB9F">
      <w:pPr>
        <w:keepNext w:val="0"/>
        <w:keepLines w:val="0"/>
        <w:pageBreakBefore w:val="0"/>
        <w:kinsoku/>
        <w:wordWrap/>
        <w:overflowPunct/>
        <w:topLinePunct w:val="0"/>
        <w:autoSpaceDE/>
        <w:autoSpaceDN/>
        <w:bidi w:val="0"/>
        <w:adjustRightInd/>
        <w:spacing w:line="578" w:lineRule="exact"/>
        <w:textAlignment w:val="auto"/>
      </w:pPr>
    </w:p>
    <w:sectPr>
      <w:headerReference r:id="rId3" w:type="default"/>
      <w:footerReference r:id="rId4" w:type="default"/>
      <w:pgSz w:w="11906" w:h="16838"/>
      <w:pgMar w:top="1701" w:right="1588" w:bottom="1644" w:left="1701" w:header="851" w:footer="992" w:gutter="0"/>
      <w:cols w:space="425" w:num="1"/>
      <w:docGrid w:type="linesAndChars" w:linePitch="562"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878B1">
    <w:pPr>
      <w:pStyle w:val="6"/>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069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31868"/>
    <w:multiLevelType w:val="singleLevel"/>
    <w:tmpl w:val="20C3186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CD"/>
    <w:rsid w:val="00000560"/>
    <w:rsid w:val="00007A67"/>
    <w:rsid w:val="00022542"/>
    <w:rsid w:val="000258AA"/>
    <w:rsid w:val="000D1E99"/>
    <w:rsid w:val="0012286D"/>
    <w:rsid w:val="00132593"/>
    <w:rsid w:val="00145B76"/>
    <w:rsid w:val="00170E39"/>
    <w:rsid w:val="001834A3"/>
    <w:rsid w:val="00195019"/>
    <w:rsid w:val="001B111B"/>
    <w:rsid w:val="001B4856"/>
    <w:rsid w:val="001D33F5"/>
    <w:rsid w:val="001E1FDF"/>
    <w:rsid w:val="001F07DA"/>
    <w:rsid w:val="001F096B"/>
    <w:rsid w:val="0023428B"/>
    <w:rsid w:val="00235EDE"/>
    <w:rsid w:val="00267E35"/>
    <w:rsid w:val="002A7F8F"/>
    <w:rsid w:val="002C4D92"/>
    <w:rsid w:val="002D7EDF"/>
    <w:rsid w:val="002E516E"/>
    <w:rsid w:val="002E5CB6"/>
    <w:rsid w:val="002F1311"/>
    <w:rsid w:val="00314DC0"/>
    <w:rsid w:val="00331AA1"/>
    <w:rsid w:val="00347820"/>
    <w:rsid w:val="00347914"/>
    <w:rsid w:val="00395359"/>
    <w:rsid w:val="003B7E05"/>
    <w:rsid w:val="003D4D40"/>
    <w:rsid w:val="004078CE"/>
    <w:rsid w:val="00410146"/>
    <w:rsid w:val="00413B2F"/>
    <w:rsid w:val="00421D22"/>
    <w:rsid w:val="0043014F"/>
    <w:rsid w:val="004531CF"/>
    <w:rsid w:val="004749F5"/>
    <w:rsid w:val="00486009"/>
    <w:rsid w:val="004B2E77"/>
    <w:rsid w:val="004D35D6"/>
    <w:rsid w:val="004D736E"/>
    <w:rsid w:val="00510F6B"/>
    <w:rsid w:val="00537F7E"/>
    <w:rsid w:val="00566EB1"/>
    <w:rsid w:val="00572A0D"/>
    <w:rsid w:val="00574D73"/>
    <w:rsid w:val="005B06B5"/>
    <w:rsid w:val="005B07DD"/>
    <w:rsid w:val="005B6EB7"/>
    <w:rsid w:val="005C28C3"/>
    <w:rsid w:val="005D4C3F"/>
    <w:rsid w:val="005E6FE2"/>
    <w:rsid w:val="00606F30"/>
    <w:rsid w:val="00620700"/>
    <w:rsid w:val="0062264E"/>
    <w:rsid w:val="006265B7"/>
    <w:rsid w:val="006317C3"/>
    <w:rsid w:val="00665117"/>
    <w:rsid w:val="00675A9A"/>
    <w:rsid w:val="006B0F8D"/>
    <w:rsid w:val="006D4795"/>
    <w:rsid w:val="00736CB1"/>
    <w:rsid w:val="0074594E"/>
    <w:rsid w:val="0075049C"/>
    <w:rsid w:val="00754811"/>
    <w:rsid w:val="007705F1"/>
    <w:rsid w:val="00781B6C"/>
    <w:rsid w:val="0078264B"/>
    <w:rsid w:val="007A1F56"/>
    <w:rsid w:val="007A7399"/>
    <w:rsid w:val="00804DCB"/>
    <w:rsid w:val="00816A2A"/>
    <w:rsid w:val="008428B2"/>
    <w:rsid w:val="0084340E"/>
    <w:rsid w:val="0086235A"/>
    <w:rsid w:val="00876A57"/>
    <w:rsid w:val="00880F2C"/>
    <w:rsid w:val="008B525A"/>
    <w:rsid w:val="008C30AE"/>
    <w:rsid w:val="008E75C3"/>
    <w:rsid w:val="0090022C"/>
    <w:rsid w:val="00982492"/>
    <w:rsid w:val="009D75F0"/>
    <w:rsid w:val="00A66BD5"/>
    <w:rsid w:val="00A813BE"/>
    <w:rsid w:val="00A8644D"/>
    <w:rsid w:val="00A91495"/>
    <w:rsid w:val="00AC5B70"/>
    <w:rsid w:val="00AF7207"/>
    <w:rsid w:val="00B05F42"/>
    <w:rsid w:val="00B12D08"/>
    <w:rsid w:val="00B32B1B"/>
    <w:rsid w:val="00B55F8F"/>
    <w:rsid w:val="00B857D8"/>
    <w:rsid w:val="00B953DC"/>
    <w:rsid w:val="00BA5204"/>
    <w:rsid w:val="00BF3EFE"/>
    <w:rsid w:val="00BF4502"/>
    <w:rsid w:val="00C005AF"/>
    <w:rsid w:val="00C10A76"/>
    <w:rsid w:val="00C112EA"/>
    <w:rsid w:val="00C13943"/>
    <w:rsid w:val="00C65605"/>
    <w:rsid w:val="00C8769E"/>
    <w:rsid w:val="00CD5F4B"/>
    <w:rsid w:val="00D24C0F"/>
    <w:rsid w:val="00D41CC7"/>
    <w:rsid w:val="00D45282"/>
    <w:rsid w:val="00D67E60"/>
    <w:rsid w:val="00D73EB4"/>
    <w:rsid w:val="00D74AD4"/>
    <w:rsid w:val="00D82FAA"/>
    <w:rsid w:val="00DA04CD"/>
    <w:rsid w:val="00DA43A7"/>
    <w:rsid w:val="00DA5CEB"/>
    <w:rsid w:val="00DC37C4"/>
    <w:rsid w:val="00DC4199"/>
    <w:rsid w:val="00DE17BB"/>
    <w:rsid w:val="00DF7A41"/>
    <w:rsid w:val="00E03302"/>
    <w:rsid w:val="00E21FA4"/>
    <w:rsid w:val="00E23CAC"/>
    <w:rsid w:val="00E3272E"/>
    <w:rsid w:val="00E71A39"/>
    <w:rsid w:val="00E82D5B"/>
    <w:rsid w:val="00EA4E69"/>
    <w:rsid w:val="00EC4520"/>
    <w:rsid w:val="00ED3E32"/>
    <w:rsid w:val="00ED5CA9"/>
    <w:rsid w:val="00EF1D42"/>
    <w:rsid w:val="00F04107"/>
    <w:rsid w:val="00F14CD1"/>
    <w:rsid w:val="00F43167"/>
    <w:rsid w:val="00F43EA4"/>
    <w:rsid w:val="00F57915"/>
    <w:rsid w:val="00FF40BF"/>
    <w:rsid w:val="02076F1C"/>
    <w:rsid w:val="031D6C06"/>
    <w:rsid w:val="04195F44"/>
    <w:rsid w:val="091E01FC"/>
    <w:rsid w:val="0B4F5DEB"/>
    <w:rsid w:val="0CAD24F6"/>
    <w:rsid w:val="0CE73BD2"/>
    <w:rsid w:val="10A67D57"/>
    <w:rsid w:val="1302767D"/>
    <w:rsid w:val="160B6B83"/>
    <w:rsid w:val="173C05FF"/>
    <w:rsid w:val="17B60D70"/>
    <w:rsid w:val="1B604B3A"/>
    <w:rsid w:val="1BBD409D"/>
    <w:rsid w:val="1DF83068"/>
    <w:rsid w:val="1F0A47B1"/>
    <w:rsid w:val="244F4FEC"/>
    <w:rsid w:val="279F4671"/>
    <w:rsid w:val="28137B19"/>
    <w:rsid w:val="28BE6B47"/>
    <w:rsid w:val="2CA36A90"/>
    <w:rsid w:val="2CF00429"/>
    <w:rsid w:val="2E284BBA"/>
    <w:rsid w:val="31BD2380"/>
    <w:rsid w:val="324F79A0"/>
    <w:rsid w:val="33977850"/>
    <w:rsid w:val="340E6DFD"/>
    <w:rsid w:val="35B34278"/>
    <w:rsid w:val="3B3F1DAA"/>
    <w:rsid w:val="3BC7160E"/>
    <w:rsid w:val="3C784FF2"/>
    <w:rsid w:val="3DFC546C"/>
    <w:rsid w:val="3EF827D1"/>
    <w:rsid w:val="3F5B5BD6"/>
    <w:rsid w:val="40694DC0"/>
    <w:rsid w:val="40E203D3"/>
    <w:rsid w:val="414478E0"/>
    <w:rsid w:val="42DF6B1E"/>
    <w:rsid w:val="4597570B"/>
    <w:rsid w:val="47B73BC5"/>
    <w:rsid w:val="483E2094"/>
    <w:rsid w:val="4B4A046A"/>
    <w:rsid w:val="4C1D04CA"/>
    <w:rsid w:val="5163582E"/>
    <w:rsid w:val="578D647B"/>
    <w:rsid w:val="58AA1B0C"/>
    <w:rsid w:val="59A42175"/>
    <w:rsid w:val="5C8244A6"/>
    <w:rsid w:val="5E9D458F"/>
    <w:rsid w:val="619F5BD5"/>
    <w:rsid w:val="64437109"/>
    <w:rsid w:val="657704D8"/>
    <w:rsid w:val="68AD6BF3"/>
    <w:rsid w:val="6D8048D6"/>
    <w:rsid w:val="6E0C7681"/>
    <w:rsid w:val="6E796721"/>
    <w:rsid w:val="6EB5235D"/>
    <w:rsid w:val="700C488E"/>
    <w:rsid w:val="717107DF"/>
    <w:rsid w:val="74817DD0"/>
    <w:rsid w:val="764010A6"/>
    <w:rsid w:val="765A05BC"/>
    <w:rsid w:val="76BE1C0E"/>
    <w:rsid w:val="7B136D89"/>
    <w:rsid w:val="7DAF7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Balloon Text"/>
    <w:basedOn w:val="1"/>
    <w:semiHidden/>
    <w:qFormat/>
    <w:uiPriority w:val="0"/>
    <w:rPr>
      <w:sz w:val="18"/>
      <w:szCs w:val="18"/>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w:next w:val="6"/>
    <w:qFormat/>
    <w:uiPriority w:val="99"/>
    <w:pPr>
      <w:widowControl w:val="0"/>
      <w:suppressAutoHyphens/>
      <w:bidi w:val="0"/>
      <w:spacing w:after="120"/>
      <w:ind w:firstLine="420" w:firstLineChars="100"/>
      <w:jc w:val="both"/>
    </w:pPr>
    <w:rPr>
      <w:rFonts w:ascii="Calibri" w:hAnsi="Calibri" w:eastAsia="宋体" w:cs="Microsoft Himalaya"/>
      <w:color w:val="auto"/>
      <w:kern w:val="2"/>
      <w:sz w:val="21"/>
      <w:szCs w:val="22"/>
      <w:lang w:val="en-US" w:eastAsia="zh-CN" w:bidi="ar-SA"/>
    </w:rPr>
  </w:style>
  <w:style w:type="character" w:styleId="12">
    <w:name w:val="Strong"/>
    <w:basedOn w:val="11"/>
    <w:qFormat/>
    <w:uiPriority w:val="0"/>
    <w:rPr>
      <w:b/>
    </w:rPr>
  </w:style>
  <w:style w:type="paragraph" w:customStyle="1" w:styleId="13">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4">
    <w:name w:val="正文首行缩进 21"/>
    <w:basedOn w:val="1"/>
    <w:qFormat/>
    <w:uiPriority w:val="0"/>
    <w:pPr>
      <w:spacing w:line="360" w:lineRule="auto"/>
      <w:ind w:firstLine="420" w:firstLineChars="200"/>
      <w:textAlignment w:val="baseline"/>
    </w:pPr>
    <w:rPr>
      <w:rFonts w:eastAsia="宋体"/>
      <w:sz w:val="24"/>
    </w:rPr>
  </w:style>
  <w:style w:type="paragraph" w:customStyle="1" w:styleId="15">
    <w:name w:val="正文-公1"/>
    <w:basedOn w:val="16"/>
    <w:next w:val="1"/>
    <w:qFormat/>
    <w:uiPriority w:val="0"/>
    <w:pPr>
      <w:ind w:firstLine="20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4136</Words>
  <Characters>4292</Characters>
  <Lines>21</Lines>
  <Paragraphs>10</Paragraphs>
  <TotalTime>4</TotalTime>
  <ScaleCrop>false</ScaleCrop>
  <LinksUpToDate>false</LinksUpToDate>
  <CharactersWithSpaces>4344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2020-07-14T08:14:00Z</dcterms:created>
  <dc:creator>shx</dc:creator>
  <cp:lastModifiedBy>半夏€</cp:lastModifiedBy>
  <cp:lastPrinted>2020-07-14T08:13:00Z</cp:lastPrinted>
  <dcterms:modified xsi:type="dcterms:W3CDTF">2025-09-17T04:06:49Z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eyJoZGlkIjoiMzk4MjU4ODI1ZjIyZWEwMWI5NjBmZDBkODg2YTQ5NDQiLCJ1c2VySWQiOiIxOTk0OTQ2MTMifQ==</vt:lpwstr>
  </property>
  <property fmtid="{D5CDD505-2E9C-101B-9397-08002B2CF9AE}" pid="4" name="ICV">
    <vt:lpwstr>229C96DA09CE4CFCAD3BC2044EB7E668_13</vt:lpwstr>
  </property>
</Properties>
</file>