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林芝市发展和改革委员会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单位</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一、单位收支总体情况</w:t>
      </w:r>
    </w:p>
    <w:p>
      <w:pPr>
        <w:rPr>
          <w:rFonts w:ascii="黑体" w:hAnsi="黑体" w:eastAsia="黑体"/>
          <w:sz w:val="32"/>
          <w:szCs w:val="32"/>
        </w:rPr>
      </w:pPr>
      <w:r>
        <w:rPr>
          <w:rFonts w:hint="eastAsia" w:ascii="黑体" w:hAnsi="黑体" w:eastAsia="黑体"/>
          <w:sz w:val="32"/>
          <w:szCs w:val="32"/>
        </w:rPr>
        <w:t>二、单位收入总体情况</w:t>
      </w:r>
    </w:p>
    <w:p>
      <w:pPr>
        <w:rPr>
          <w:rFonts w:ascii="黑体" w:hAnsi="黑体" w:eastAsia="黑体"/>
          <w:sz w:val="32"/>
          <w:szCs w:val="32"/>
        </w:rPr>
      </w:pPr>
      <w:r>
        <w:rPr>
          <w:rFonts w:hint="eastAsia" w:ascii="黑体" w:hAnsi="黑体" w:eastAsia="黑体"/>
          <w:sz w:val="32"/>
          <w:szCs w:val="32"/>
        </w:rPr>
        <w:t>三、单位支出总体情况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both"/>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仿宋" w:hAnsi="仿宋" w:eastAsia="仿宋"/>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市发展改革委是市人民政府工作部门，为正县级。加挂市粮食和物资储备局、市国防动员委员会办公室、市人民防空办公室、市投资促进局牌子。</w:t>
      </w:r>
    </w:p>
    <w:p>
      <w:pPr>
        <w:spacing w:beforeLines="0" w:afterLines="0" w:line="360" w:lineRule="auto"/>
        <w:ind w:firstLine="640" w:firstLineChars="200"/>
        <w:rPr>
          <w:rFonts w:hint="eastAsia" w:ascii="仿宋_GB2312" w:eastAsia="仿宋_GB2312"/>
          <w:sz w:val="32"/>
        </w:rPr>
      </w:pPr>
      <w:r>
        <w:rPr>
          <w:rFonts w:hint="eastAsia" w:ascii="仿宋_GB2312" w:eastAsia="仿宋_GB2312"/>
          <w:sz w:val="32"/>
        </w:rPr>
        <w:t>一是</w:t>
      </w:r>
      <w:r>
        <w:rPr>
          <w:rFonts w:hint="eastAsia" w:ascii="仿宋_GB2312" w:eastAsia="仿宋_GB2312"/>
          <w:sz w:val="32"/>
          <w:lang w:eastAsia="zh-CN"/>
        </w:rPr>
        <w:t>贯彻执行国家、自治区发展和改革战略规划，贯彻落实国民经济和社会发展战略，拟订并组织实施全市国民经济和社会发展中长期规划及年度计划</w:t>
      </w:r>
      <w:r>
        <w:rPr>
          <w:rFonts w:hint="eastAsia" w:ascii="仿宋_GB2312" w:eastAsia="仿宋_GB2312"/>
          <w:sz w:val="32"/>
        </w:rPr>
        <w:t>。</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二是负责拟订着力创建高原经济高质量发展县区、国家固边兴边富民行到示范区的总体目标、重要任务、年度计划及相关措施。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三是统筹提出全市国民经济和社会发展重要目标，监测预警预测宏观经济和社会发展态势趋势，提出宏观调控建议。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四是指导推进和综合协调经济领域相关改革工作，提出相关改革建议。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五是贯彻落实国家、自治区利用外资和境外投资的战略、规划、总量平衡和结构优化政策措施。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六是负责投资综合管理。</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七是组织拟订和实施区域协调发展、新型城镇化相关规划和具体措施。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八是组织拟订综合性产业规划和具体措施。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九是贯彻落实创新驱动发展战略。</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十是跟踪研判涉及经济安全、生态安全、资源安全、科技安全、社会安全等各类风险隐患，提出相关工作建议。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十一负责全市社会发展与国民经济发展的政策衔接，协调有关重大问题。</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十二贯彻落实可持续发展战略，推动生态文明建设和改革，协调生态环境保护和修复、能源资源节约和综合利用等工作。</w:t>
      </w:r>
    </w:p>
    <w:p>
      <w:pPr>
        <w:spacing w:beforeLines="0" w:afterLines="0" w:line="360" w:lineRule="auto"/>
        <w:ind w:firstLine="640" w:firstLineChars="200"/>
        <w:rPr>
          <w:rFonts w:hint="eastAsia" w:ascii="仿宋_GB2312" w:eastAsia="仿宋_GB2312"/>
          <w:sz w:val="32"/>
        </w:rPr>
      </w:pPr>
      <w:r>
        <w:rPr>
          <w:rFonts w:hint="eastAsia" w:ascii="仿宋_GB2312" w:eastAsia="仿宋_GB2312"/>
          <w:sz w:val="32"/>
          <w:lang w:eastAsia="zh-CN"/>
        </w:rPr>
        <w:t>十三会同有关部门拟订推进经济建设与国防建设协调发展的规划</w:t>
      </w:r>
      <w:r>
        <w:rPr>
          <w:rFonts w:hint="eastAsia" w:ascii="仿宋_GB2312" w:eastAsia="仿宋_GB2312"/>
          <w:sz w:val="32"/>
        </w:rPr>
        <w:t>。</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十四贯彻落实党中央、自治区有关铁路、航空等基础设施发展的方针、政策、规定。</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十五组织拟订促进非公有制经济（民间投资）发展的具体措施，跟踪了解和分析研判民营经济发展状况。</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六承担市委军民融合发展委员会办公室、市投资促进工作领导小组办公室、市国防动员委员会联合办公室、着力创建高原经济高质量发展先行区专项组办公室、创建国家固边兴边富民行动示范区专项组办公室等日常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负责起草全市粮食流通和物资储备管理的地方性法规和政府规章草案。</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管理市粮食、食糖、棉花、石油、天然气等重要物资储备，负责市储备粮食、食糖、棉花、石油、天然气等重要物资行政管理。</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贯彻落实自治区地方粮食和物资储备仓储管理有关技术标准和规范。</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负责对管理的政府储备、企业储备以及储备政策落实情况进行监督检查。</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负责建立健全国防动员、人民防空工作制度。</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负责国防动员建设管理、动员准备、组织实施、经济动员（装备动员）、信息动员等事项。</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负责人民防空指挥体系建设。</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负责人民防空工程（含结合民用建筑修建的人民防空地下室）监督管理。</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贯彻落实投资促进工作的有关法律法规，起草投资促进领域的地方性法规和政府规章草案。</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统筹全市招商引资工作，对全市招商引资、经济技术合作工作进行监测分析，制定年度招商引资计划指标，下达招商引资计划，监督检查年度计划落实情况。</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负责全市投资环境推介，会同有关部门推介重点区域、重点产业等的招商引资项目。</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负责招商引资项目及配套项目的整体推进和落实工作。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负责对市外投资和经济合作工作，负责各类园区与林芝市规划的衔接。</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负责拟订全市招商引资人才队伍建设规划和教育培训计划并组织实施。</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负责建立全市投资促进工作综合评价制度和考核办法并组织实施。</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负责本行业本领域安全生产监督管理和应急处置工作。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完成市委、政府交办的其他任务。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beforeLines="0" w:afterLines="0" w:line="360" w:lineRule="auto"/>
        <w:ind w:firstLine="640" w:firstLineChars="200"/>
        <w:jc w:val="left"/>
        <w:rPr>
          <w:rFonts w:hint="eastAsia"/>
          <w:color w:val="auto"/>
          <w:sz w:val="21"/>
        </w:rPr>
      </w:pPr>
      <w:r>
        <w:rPr>
          <w:rFonts w:hint="eastAsia" w:ascii="仿宋_GB2312" w:eastAsia="仿宋_GB2312"/>
          <w:color w:val="auto"/>
          <w:sz w:val="32"/>
        </w:rPr>
        <w:t>市发改委下设1</w:t>
      </w:r>
      <w:r>
        <w:rPr>
          <w:rFonts w:hint="eastAsia" w:ascii="仿宋_GB2312" w:eastAsia="仿宋_GB2312"/>
          <w:color w:val="auto"/>
          <w:sz w:val="32"/>
          <w:lang w:val="en-US" w:eastAsia="zh-CN"/>
        </w:rPr>
        <w:t>5</w:t>
      </w:r>
      <w:r>
        <w:rPr>
          <w:rFonts w:hint="eastAsia" w:ascii="仿宋_GB2312" w:eastAsia="仿宋_GB2312"/>
          <w:color w:val="auto"/>
          <w:sz w:val="32"/>
        </w:rPr>
        <w:t>个科室：办公室</w:t>
      </w:r>
      <w:r>
        <w:rPr>
          <w:rFonts w:hint="eastAsia" w:ascii="仿宋_GB2312" w:eastAsia="仿宋_GB2312"/>
          <w:color w:val="auto"/>
          <w:sz w:val="32"/>
          <w:lang w:eastAsia="zh-CN"/>
        </w:rPr>
        <w:t>（政工人事科）</w:t>
      </w:r>
      <w:r>
        <w:rPr>
          <w:rFonts w:hint="eastAsia" w:ascii="仿宋_GB2312" w:eastAsia="仿宋_GB2312"/>
          <w:color w:val="auto"/>
          <w:sz w:val="32"/>
        </w:rPr>
        <w:t>、</w:t>
      </w:r>
      <w:r>
        <w:rPr>
          <w:rFonts w:hint="eastAsia" w:ascii="仿宋_GB2312" w:eastAsia="仿宋_GB2312"/>
          <w:color w:val="auto"/>
          <w:sz w:val="32"/>
          <w:lang w:eastAsia="zh-CN"/>
        </w:rPr>
        <w:t>发展战略和规划科</w:t>
      </w:r>
      <w:r>
        <w:rPr>
          <w:rFonts w:hint="eastAsia" w:ascii="仿宋_GB2312" w:eastAsia="仿宋_GB2312"/>
          <w:color w:val="auto"/>
          <w:sz w:val="32"/>
        </w:rPr>
        <w:t>、</w:t>
      </w:r>
      <w:r>
        <w:rPr>
          <w:rFonts w:hint="eastAsia" w:ascii="仿宋_GB2312" w:eastAsia="仿宋_GB2312"/>
          <w:color w:val="auto"/>
          <w:sz w:val="32"/>
          <w:lang w:eastAsia="zh-CN"/>
        </w:rPr>
        <w:t>国民经济和体制改革科（经济运行调节科）</w:t>
      </w:r>
      <w:r>
        <w:rPr>
          <w:rFonts w:hint="eastAsia" w:ascii="仿宋_GB2312" w:eastAsia="仿宋_GB2312"/>
          <w:color w:val="auto"/>
          <w:sz w:val="32"/>
        </w:rPr>
        <w:t>、固定资产投资科</w:t>
      </w:r>
      <w:r>
        <w:rPr>
          <w:rFonts w:hint="eastAsia" w:ascii="仿宋_GB2312" w:eastAsia="仿宋_GB2312"/>
          <w:color w:val="auto"/>
          <w:sz w:val="32"/>
          <w:lang w:eastAsia="zh-CN"/>
        </w:rPr>
        <w:t>（评估督导科）</w:t>
      </w:r>
      <w:r>
        <w:rPr>
          <w:rFonts w:hint="eastAsia" w:ascii="仿宋_GB2312" w:eastAsia="仿宋_GB2312"/>
          <w:color w:val="auto"/>
          <w:sz w:val="32"/>
        </w:rPr>
        <w:t>、</w:t>
      </w:r>
      <w:r>
        <w:rPr>
          <w:rFonts w:hint="eastAsia" w:ascii="仿宋_GB2312" w:eastAsia="仿宋_GB2312"/>
          <w:color w:val="auto"/>
          <w:sz w:val="32"/>
          <w:lang w:eastAsia="zh-CN"/>
        </w:rPr>
        <w:t>基础设施和产业发展科（航空事业发展科）</w:t>
      </w:r>
      <w:r>
        <w:rPr>
          <w:rFonts w:hint="eastAsia" w:ascii="仿宋_GB2312" w:eastAsia="仿宋_GB2312"/>
          <w:color w:val="auto"/>
          <w:sz w:val="32"/>
        </w:rPr>
        <w:t>、</w:t>
      </w:r>
      <w:r>
        <w:rPr>
          <w:rFonts w:hint="eastAsia" w:ascii="仿宋_GB2312" w:eastAsia="仿宋_GB2312"/>
          <w:color w:val="auto"/>
          <w:sz w:val="32"/>
          <w:lang w:eastAsia="zh-CN"/>
        </w:rPr>
        <w:t>社会发展和就业收入分配科、</w:t>
      </w:r>
      <w:r>
        <w:rPr>
          <w:rFonts w:hint="eastAsia" w:ascii="仿宋_GB2312" w:eastAsia="仿宋_GB2312"/>
          <w:color w:val="auto"/>
          <w:sz w:val="32"/>
        </w:rPr>
        <w:t>农村经济科、</w:t>
      </w:r>
      <w:r>
        <w:rPr>
          <w:rFonts w:hint="eastAsia" w:ascii="仿宋_GB2312" w:eastAsia="仿宋_GB2312"/>
          <w:color w:val="auto"/>
          <w:sz w:val="32"/>
          <w:lang w:eastAsia="zh-CN"/>
        </w:rPr>
        <w:t>价格科</w:t>
      </w:r>
      <w:r>
        <w:rPr>
          <w:rFonts w:hint="eastAsia" w:ascii="仿宋_GB2312" w:eastAsia="仿宋_GB2312"/>
          <w:color w:val="auto"/>
          <w:sz w:val="32"/>
        </w:rPr>
        <w:t>、</w:t>
      </w:r>
      <w:r>
        <w:rPr>
          <w:rFonts w:hint="eastAsia" w:ascii="仿宋_GB2312" w:eastAsia="仿宋_GB2312"/>
          <w:color w:val="auto"/>
          <w:sz w:val="32"/>
          <w:lang w:eastAsia="zh-CN"/>
        </w:rPr>
        <w:t>经济贸易和消费科（财政金融信用建设科）、区域经济协调科、粮食物资政策和应急保障科（统计监测科、监督管理科）、粮食和物资储备科（军粮管理办公室）、动员准备科（指挥训练科）、战备规划科（平战建设科）、投资促进科。</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3319.73</w:t>
      </w:r>
      <w:r>
        <w:rPr>
          <w:rFonts w:hint="eastAsia" w:ascii="仿宋" w:hAnsi="仿宋" w:eastAsia="仿宋"/>
          <w:sz w:val="32"/>
          <w:szCs w:val="32"/>
        </w:rPr>
        <w:t>万元。收入包括：一般公共预算拨款收入；支出包括：一般公共服务支出、</w:t>
      </w:r>
      <w:r>
        <w:rPr>
          <w:rFonts w:hint="eastAsia" w:ascii="仿宋" w:hAnsi="仿宋" w:eastAsia="仿宋"/>
          <w:sz w:val="32"/>
          <w:szCs w:val="32"/>
          <w:lang w:eastAsia="zh-CN"/>
        </w:rPr>
        <w:t>国防支出</w:t>
      </w:r>
      <w:r>
        <w:rPr>
          <w:rFonts w:hint="eastAsia" w:ascii="仿宋" w:hAnsi="仿宋" w:eastAsia="仿宋"/>
          <w:sz w:val="32"/>
          <w:szCs w:val="32"/>
        </w:rPr>
        <w:t>、社会保障和就业支出、卫生健康支出、住房保障支出</w:t>
      </w:r>
      <w:r>
        <w:rPr>
          <w:rFonts w:hint="eastAsia" w:ascii="仿宋" w:hAnsi="仿宋" w:eastAsia="仿宋"/>
          <w:sz w:val="32"/>
          <w:szCs w:val="32"/>
          <w:lang w:eastAsia="zh-CN"/>
        </w:rPr>
        <w:t>、粮油物资储备支出、灭害防治及应急管理支出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3319.73</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75.04</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。其中：上年结转</w:t>
      </w:r>
      <w:r>
        <w:rPr>
          <w:rFonts w:hint="eastAsia" w:ascii="仿宋" w:hAnsi="仿宋" w:eastAsia="仿宋"/>
          <w:sz w:val="32"/>
          <w:szCs w:val="32"/>
          <w:lang w:val="en-US" w:eastAsia="zh-CN"/>
        </w:rPr>
        <w:t>69.78</w:t>
      </w:r>
      <w:r>
        <w:rPr>
          <w:rFonts w:hint="eastAsia" w:ascii="仿宋" w:hAnsi="仿宋" w:eastAsia="仿宋"/>
          <w:sz w:val="32"/>
          <w:szCs w:val="32"/>
        </w:rPr>
        <w:t>万元，占</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3249.95</w:t>
      </w:r>
      <w:r>
        <w:rPr>
          <w:rFonts w:hint="eastAsia" w:ascii="仿宋" w:hAnsi="仿宋" w:eastAsia="仿宋"/>
          <w:sz w:val="32"/>
          <w:szCs w:val="32"/>
        </w:rPr>
        <w:t>万元，占</w:t>
      </w:r>
      <w:r>
        <w:rPr>
          <w:rFonts w:hint="eastAsia" w:ascii="仿宋" w:hAnsi="仿宋" w:eastAsia="仿宋"/>
          <w:sz w:val="32"/>
          <w:szCs w:val="32"/>
          <w:lang w:val="en-US" w:eastAsia="zh-CN"/>
        </w:rPr>
        <w:t>97.89</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 xml:space="preserve">拨款收入 </w:t>
      </w:r>
      <w:r>
        <w:rPr>
          <w:rFonts w:hint="eastAsia" w:ascii="仿宋" w:hAnsi="仿宋" w:eastAsia="仿宋"/>
          <w:sz w:val="32"/>
          <w:szCs w:val="32"/>
          <w:lang w:val="en-US" w:eastAsia="zh-CN"/>
        </w:rPr>
        <w:t>0</w:t>
      </w:r>
      <w:r>
        <w:rPr>
          <w:rFonts w:hint="eastAsia" w:ascii="仿宋" w:hAnsi="仿宋" w:eastAsia="仿宋"/>
          <w:sz w:val="32"/>
          <w:szCs w:val="32"/>
        </w:rPr>
        <w:t xml:space="preserve"> 万元。</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3319.73</w:t>
      </w:r>
      <w:r>
        <w:rPr>
          <w:rFonts w:hint="eastAsia" w:ascii="仿宋" w:hAnsi="仿宋" w:eastAsia="仿宋"/>
          <w:sz w:val="32"/>
          <w:szCs w:val="32"/>
        </w:rPr>
        <w:t>万元，同比减少</w:t>
      </w:r>
      <w:r>
        <w:rPr>
          <w:rFonts w:hint="eastAsia" w:ascii="仿宋" w:hAnsi="仿宋" w:eastAsia="仿宋"/>
          <w:sz w:val="32"/>
          <w:szCs w:val="32"/>
          <w:lang w:val="en-US" w:eastAsia="zh-CN"/>
        </w:rPr>
        <w:t>75.04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。其中：基本支出</w:t>
      </w:r>
      <w:r>
        <w:rPr>
          <w:rFonts w:hint="eastAsia" w:ascii="仿宋" w:hAnsi="仿宋" w:eastAsia="仿宋"/>
          <w:sz w:val="32"/>
          <w:szCs w:val="32"/>
          <w:lang w:val="en-US" w:eastAsia="zh-CN"/>
        </w:rPr>
        <w:t>2191.04</w:t>
      </w:r>
      <w:r>
        <w:rPr>
          <w:rFonts w:hint="eastAsia" w:ascii="仿宋" w:hAnsi="仿宋" w:eastAsia="仿宋"/>
          <w:sz w:val="32"/>
          <w:szCs w:val="32"/>
        </w:rPr>
        <w:t>万元，占</w:t>
      </w:r>
      <w:r>
        <w:rPr>
          <w:rFonts w:hint="eastAsia" w:ascii="仿宋" w:hAnsi="仿宋" w:eastAsia="仿宋"/>
          <w:sz w:val="32"/>
          <w:szCs w:val="32"/>
          <w:lang w:val="en-US" w:eastAsia="zh-CN"/>
        </w:rPr>
        <w:t>66.01</w:t>
      </w:r>
      <w:r>
        <w:rPr>
          <w:rFonts w:hint="eastAsia" w:ascii="仿宋" w:hAnsi="仿宋" w:eastAsia="仿宋"/>
          <w:sz w:val="32"/>
          <w:szCs w:val="32"/>
        </w:rPr>
        <w:t>%；项目支出</w:t>
      </w:r>
      <w:r>
        <w:rPr>
          <w:rFonts w:hint="eastAsia" w:ascii="仿宋" w:hAnsi="仿宋" w:eastAsia="仿宋"/>
          <w:sz w:val="32"/>
          <w:szCs w:val="32"/>
          <w:lang w:val="en-US" w:eastAsia="zh-CN"/>
        </w:rPr>
        <w:t>1128.69</w:t>
      </w:r>
      <w:r>
        <w:rPr>
          <w:rFonts w:hint="eastAsia" w:ascii="仿宋" w:hAnsi="仿宋" w:eastAsia="仿宋"/>
          <w:sz w:val="32"/>
          <w:szCs w:val="32"/>
        </w:rPr>
        <w:t>万元，占</w:t>
      </w:r>
      <w:r>
        <w:rPr>
          <w:rFonts w:hint="eastAsia" w:ascii="仿宋" w:hAnsi="仿宋" w:eastAsia="仿宋"/>
          <w:sz w:val="32"/>
          <w:szCs w:val="32"/>
          <w:lang w:val="en-US" w:eastAsia="zh-CN"/>
        </w:rPr>
        <w:t>33.99</w:t>
      </w:r>
      <w:r>
        <w:rPr>
          <w:rFonts w:hint="eastAsia" w:ascii="仿宋" w:hAnsi="仿宋" w:eastAsia="仿宋"/>
          <w:sz w:val="32"/>
          <w:szCs w:val="32"/>
        </w:rPr>
        <w:t>%；事业单位经营支出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3319.73</w:t>
      </w:r>
      <w:r>
        <w:rPr>
          <w:rFonts w:hint="eastAsia" w:ascii="仿宋" w:hAnsi="仿宋" w:eastAsia="仿宋"/>
          <w:sz w:val="32"/>
          <w:szCs w:val="32"/>
        </w:rPr>
        <w:t>万元，同比减少</w:t>
      </w:r>
      <w:r>
        <w:rPr>
          <w:rFonts w:hint="eastAsia" w:ascii="仿宋" w:hAnsi="仿宋" w:eastAsia="仿宋"/>
          <w:sz w:val="32"/>
          <w:szCs w:val="32"/>
          <w:lang w:val="en-US" w:eastAsia="zh-CN"/>
        </w:rPr>
        <w:t>75.04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3249.95</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lang w:val="en-US" w:eastAsia="zh-CN"/>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lang w:val="en-US" w:eastAsia="zh-CN"/>
        </w:rPr>
        <w:t>69.78</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lang w:val="en-US" w:eastAsia="zh-CN"/>
        </w:rPr>
        <w:t>2345.5</w:t>
      </w:r>
      <w:r>
        <w:rPr>
          <w:rFonts w:hint="eastAsia" w:ascii="仿宋" w:hAnsi="仿宋" w:eastAsia="仿宋"/>
          <w:sz w:val="32"/>
          <w:szCs w:val="32"/>
        </w:rPr>
        <w:t>万元、</w:t>
      </w:r>
      <w:r>
        <w:rPr>
          <w:rFonts w:hint="eastAsia" w:ascii="仿宋" w:hAnsi="仿宋" w:eastAsia="仿宋"/>
          <w:sz w:val="32"/>
          <w:szCs w:val="32"/>
          <w:lang w:eastAsia="zh-CN"/>
        </w:rPr>
        <w:t>国防支出</w:t>
      </w:r>
      <w:r>
        <w:rPr>
          <w:rFonts w:hint="eastAsia" w:ascii="仿宋" w:hAnsi="仿宋" w:eastAsia="仿宋"/>
          <w:sz w:val="32"/>
          <w:szCs w:val="32"/>
          <w:lang w:val="en-US" w:eastAsia="zh-CN"/>
        </w:rPr>
        <w:t>170.2万元、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256.15</w:t>
      </w:r>
      <w:r>
        <w:rPr>
          <w:rFonts w:hint="eastAsia" w:ascii="仿宋" w:hAnsi="仿宋" w:eastAsia="仿宋"/>
          <w:sz w:val="32"/>
          <w:szCs w:val="32"/>
        </w:rPr>
        <w:t>万元、卫生健康支出</w:t>
      </w:r>
      <w:r>
        <w:rPr>
          <w:rFonts w:hint="eastAsia" w:ascii="仿宋" w:hAnsi="仿宋" w:eastAsia="仿宋"/>
          <w:sz w:val="32"/>
          <w:szCs w:val="32"/>
          <w:lang w:val="en-US" w:eastAsia="zh-CN"/>
        </w:rPr>
        <w:t>127.15</w:t>
      </w:r>
      <w:r>
        <w:rPr>
          <w:rFonts w:hint="eastAsia" w:ascii="仿宋" w:hAnsi="仿宋" w:eastAsia="仿宋"/>
          <w:sz w:val="32"/>
          <w:szCs w:val="32"/>
        </w:rPr>
        <w:t>万元、住房保障支出</w:t>
      </w:r>
      <w:r>
        <w:rPr>
          <w:rFonts w:hint="eastAsia" w:ascii="仿宋" w:hAnsi="仿宋" w:eastAsia="仿宋"/>
          <w:sz w:val="32"/>
          <w:szCs w:val="32"/>
          <w:lang w:val="en-US" w:eastAsia="zh-CN"/>
        </w:rPr>
        <w:t>151.16</w:t>
      </w:r>
      <w:r>
        <w:rPr>
          <w:rFonts w:hint="eastAsia" w:ascii="仿宋" w:hAnsi="仿宋" w:eastAsia="仿宋"/>
          <w:sz w:val="32"/>
          <w:szCs w:val="32"/>
        </w:rPr>
        <w:t>万元</w:t>
      </w:r>
      <w:r>
        <w:rPr>
          <w:rFonts w:hint="eastAsia" w:ascii="仿宋" w:hAnsi="仿宋" w:eastAsia="仿宋"/>
          <w:sz w:val="32"/>
          <w:szCs w:val="32"/>
          <w:lang w:eastAsia="zh-CN"/>
        </w:rPr>
        <w:t>、粮油储备支出</w:t>
      </w:r>
      <w:r>
        <w:rPr>
          <w:rFonts w:hint="eastAsia" w:ascii="仿宋" w:hAnsi="仿宋" w:eastAsia="仿宋"/>
          <w:sz w:val="32"/>
          <w:szCs w:val="32"/>
          <w:lang w:val="en-US" w:eastAsia="zh-CN"/>
        </w:rPr>
        <w:t>187.69万元、灾害防治及应急管理支出81.88万元。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3319.73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75.04</w:t>
      </w:r>
      <w:r>
        <w:rPr>
          <w:rFonts w:hint="eastAsia" w:ascii="仿宋" w:hAnsi="仿宋" w:eastAsia="仿宋"/>
          <w:sz w:val="32"/>
          <w:szCs w:val="32"/>
        </w:rPr>
        <w:t>万元，主要原因：</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3249.95</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2275.72</w:t>
      </w:r>
      <w:r>
        <w:rPr>
          <w:rFonts w:hint="eastAsia" w:ascii="仿宋" w:hAnsi="仿宋" w:eastAsia="仿宋"/>
          <w:sz w:val="32"/>
          <w:szCs w:val="32"/>
        </w:rPr>
        <w:t>万元，占</w:t>
      </w:r>
      <w:r>
        <w:rPr>
          <w:rFonts w:hint="eastAsia" w:ascii="仿宋" w:hAnsi="仿宋" w:eastAsia="仿宋"/>
          <w:sz w:val="32"/>
          <w:szCs w:val="32"/>
          <w:lang w:val="en-US" w:eastAsia="zh-CN"/>
        </w:rPr>
        <w:t>70.02</w:t>
      </w:r>
      <w:r>
        <w:rPr>
          <w:rFonts w:hint="eastAsia" w:ascii="仿宋" w:hAnsi="仿宋" w:eastAsia="仿宋"/>
          <w:sz w:val="32"/>
          <w:szCs w:val="32"/>
        </w:rPr>
        <w:t>%；</w:t>
      </w:r>
      <w:r>
        <w:rPr>
          <w:rFonts w:hint="eastAsia" w:ascii="仿宋" w:hAnsi="仿宋" w:eastAsia="仿宋"/>
          <w:sz w:val="32"/>
          <w:szCs w:val="32"/>
          <w:lang w:eastAsia="zh-CN"/>
        </w:rPr>
        <w:t>国防支出</w:t>
      </w:r>
      <w:r>
        <w:rPr>
          <w:rFonts w:hint="eastAsia" w:ascii="仿宋" w:hAnsi="仿宋" w:eastAsia="仿宋"/>
          <w:sz w:val="32"/>
          <w:szCs w:val="32"/>
          <w:lang w:val="en-US" w:eastAsia="zh-CN"/>
        </w:rPr>
        <w:t>170.2万元</w:t>
      </w:r>
      <w:r>
        <w:rPr>
          <w:rFonts w:hint="eastAsia" w:ascii="仿宋" w:hAnsi="仿宋" w:eastAsia="仿宋"/>
          <w:sz w:val="32"/>
          <w:szCs w:val="32"/>
        </w:rPr>
        <w:t>，占</w:t>
      </w:r>
      <w:r>
        <w:rPr>
          <w:rFonts w:hint="eastAsia" w:ascii="仿宋" w:hAnsi="仿宋" w:eastAsia="仿宋"/>
          <w:sz w:val="32"/>
          <w:szCs w:val="32"/>
          <w:lang w:val="en-US" w:eastAsia="zh-CN"/>
        </w:rPr>
        <w:t>5.24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256.15万元，占7.88%；卫生健康支出127.15万元，占3.9%；住房保障支出151.16万元，占4.65%；粮食物资储备支出187.69万元，占5.78%；灾害防治及应急管理支出81.88万元，占2.52%。</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lang w:val="en-US" w:eastAsia="zh-CN"/>
        </w:rPr>
        <w:t>1686.56</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1.25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0.07</w:t>
      </w:r>
      <w:r>
        <w:rPr>
          <w:rFonts w:hint="eastAsia" w:ascii="仿宋" w:hAnsi="仿宋" w:eastAsia="仿宋"/>
          <w:sz w:val="32"/>
          <w:szCs w:val="32"/>
        </w:rPr>
        <w:t>%。主要是</w:t>
      </w:r>
      <w:r>
        <w:rPr>
          <w:rFonts w:hint="eastAsia" w:ascii="仿宋" w:hAnsi="仿宋" w:eastAsia="仿宋"/>
          <w:sz w:val="32"/>
          <w:szCs w:val="32"/>
          <w:lang w:val="en-US" w:eastAsia="zh-CN"/>
        </w:rPr>
        <w:t>人员经费有所增加</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一般公共服务支出（类）财政事务（款）一般行政管理事务（项）预算数为</w:t>
      </w:r>
      <w:r>
        <w:rPr>
          <w:rFonts w:hint="eastAsia" w:ascii="仿宋" w:hAnsi="仿宋" w:eastAsia="仿宋"/>
          <w:sz w:val="32"/>
          <w:szCs w:val="32"/>
          <w:lang w:val="en-US" w:eastAsia="zh-CN"/>
        </w:rPr>
        <w:t>13.6</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13.6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100</w:t>
      </w:r>
      <w:r>
        <w:rPr>
          <w:rFonts w:hint="eastAsia" w:ascii="仿宋" w:hAnsi="仿宋" w:eastAsia="仿宋"/>
          <w:sz w:val="32"/>
          <w:szCs w:val="32"/>
        </w:rPr>
        <w:t xml:space="preserve"> %。主要是</w:t>
      </w:r>
      <w:r>
        <w:rPr>
          <w:rFonts w:hint="eastAsia" w:ascii="仿宋" w:hAnsi="仿宋" w:eastAsia="仿宋"/>
          <w:sz w:val="32"/>
          <w:szCs w:val="32"/>
          <w:lang w:val="en-US" w:eastAsia="zh-CN"/>
        </w:rPr>
        <w:t>2025年增加一项行政管理事物专项工作。</w:t>
      </w:r>
    </w:p>
    <w:p>
      <w:pPr>
        <w:pStyle w:val="2"/>
        <w:ind w:firstLine="560"/>
        <w:rPr>
          <w:rFonts w:hint="eastAsia" w:ascii="仿宋" w:hAnsi="仿宋" w:eastAsia="仿宋"/>
          <w:sz w:val="32"/>
          <w:szCs w:val="32"/>
          <w:lang w:val="en-US" w:eastAsia="zh-CN"/>
        </w:rPr>
      </w:pPr>
      <w:r>
        <w:rPr>
          <w:rFonts w:hint="eastAsia" w:ascii="仿宋" w:hAnsi="仿宋" w:eastAsia="仿宋" w:cs="Times New Roman"/>
          <w:kern w:val="2"/>
          <w:sz w:val="32"/>
          <w:szCs w:val="32"/>
          <w:lang w:val="en-US" w:eastAsia="zh-CN" w:bidi="ar-SA"/>
        </w:rPr>
        <w:t>3.</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物价管理</w:t>
      </w:r>
      <w:r>
        <w:rPr>
          <w:rFonts w:hint="eastAsia" w:ascii="仿宋" w:hAnsi="仿宋" w:eastAsia="仿宋"/>
          <w:sz w:val="32"/>
          <w:szCs w:val="32"/>
        </w:rPr>
        <w:t>（项）预算数为</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2024年执行数增加10万元，增加100%。主要是2024年无价格监审评估事项。</w:t>
      </w:r>
    </w:p>
    <w:p>
      <w:pPr>
        <w:ind w:firstLine="560"/>
        <w:rPr>
          <w:rFonts w:hint="eastAsia"/>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战略规划与实施</w:t>
      </w:r>
      <w:r>
        <w:rPr>
          <w:rFonts w:hint="eastAsia" w:ascii="仿宋" w:hAnsi="仿宋" w:eastAsia="仿宋"/>
          <w:sz w:val="32"/>
          <w:szCs w:val="32"/>
        </w:rPr>
        <w:t>（项）预算数为</w:t>
      </w:r>
      <w:r>
        <w:rPr>
          <w:rFonts w:hint="eastAsia" w:ascii="仿宋" w:hAnsi="仿宋" w:eastAsia="仿宋"/>
          <w:sz w:val="32"/>
          <w:szCs w:val="32"/>
          <w:lang w:val="en-US" w:eastAsia="zh-CN"/>
        </w:rPr>
        <w:t>230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2024年执行数增加32.74万元，增加12.46%。主要是2025年增加战略规划类项目。</w:t>
      </w:r>
    </w:p>
    <w:p>
      <w:pPr>
        <w:pStyle w:val="2"/>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机关服务</w:t>
      </w:r>
      <w:r>
        <w:rPr>
          <w:rFonts w:hint="eastAsia" w:ascii="仿宋" w:hAnsi="仿宋" w:eastAsia="仿宋"/>
          <w:sz w:val="32"/>
          <w:szCs w:val="32"/>
        </w:rPr>
        <w:t>（项）预算数为</w:t>
      </w:r>
      <w:r>
        <w:rPr>
          <w:rFonts w:hint="eastAsia" w:ascii="仿宋" w:hAnsi="仿宋" w:eastAsia="仿宋"/>
          <w:sz w:val="32"/>
          <w:szCs w:val="32"/>
          <w:lang w:val="en-US" w:eastAsia="zh-CN"/>
        </w:rPr>
        <w:t>19.84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2024年执行数增加3.74万元，增加23.23%。主要是2025年人员增加，按照党建经费核算要求，本年度党建经费有所增加。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其他发展和改革支出</w:t>
      </w:r>
      <w:r>
        <w:rPr>
          <w:rFonts w:hint="eastAsia" w:ascii="仿宋" w:hAnsi="仿宋" w:eastAsia="仿宋"/>
          <w:sz w:val="32"/>
          <w:szCs w:val="32"/>
        </w:rPr>
        <w:t>（项）预算数为</w:t>
      </w:r>
      <w:r>
        <w:rPr>
          <w:rFonts w:hint="eastAsia" w:ascii="仿宋" w:hAnsi="仿宋" w:eastAsia="仿宋"/>
          <w:sz w:val="32"/>
          <w:szCs w:val="32"/>
          <w:lang w:val="en-US" w:eastAsia="zh-CN"/>
        </w:rPr>
        <w:t>385.5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2024年执行数减少265.26万元，下降40.76%。主要是2024年执行数中有全年追加规划编制费及上年结转编制经费，导致执行数较高。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lang w:eastAsia="zh-CN"/>
        </w:rPr>
        <w:t>国防支出</w:t>
      </w:r>
      <w:r>
        <w:rPr>
          <w:rFonts w:hint="eastAsia" w:ascii="仿宋" w:hAnsi="仿宋" w:eastAsia="仿宋"/>
          <w:sz w:val="32"/>
          <w:szCs w:val="32"/>
        </w:rPr>
        <w:t>（类）</w:t>
      </w:r>
      <w:r>
        <w:rPr>
          <w:rFonts w:hint="eastAsia" w:ascii="仿宋" w:hAnsi="仿宋" w:eastAsia="仿宋"/>
          <w:sz w:val="32"/>
          <w:szCs w:val="32"/>
          <w:lang w:eastAsia="zh-CN"/>
        </w:rPr>
        <w:t>国防动员</w:t>
      </w:r>
      <w:r>
        <w:rPr>
          <w:rFonts w:hint="eastAsia" w:ascii="仿宋" w:hAnsi="仿宋" w:eastAsia="仿宋"/>
          <w:sz w:val="32"/>
          <w:szCs w:val="32"/>
        </w:rPr>
        <w:t>（款）</w:t>
      </w:r>
      <w:r>
        <w:rPr>
          <w:rFonts w:hint="eastAsia" w:ascii="仿宋" w:hAnsi="仿宋" w:eastAsia="仿宋"/>
          <w:sz w:val="32"/>
          <w:szCs w:val="32"/>
          <w:lang w:eastAsia="zh-CN"/>
        </w:rPr>
        <w:t>人民防空支出</w:t>
      </w:r>
      <w:r>
        <w:rPr>
          <w:rFonts w:hint="eastAsia" w:ascii="仿宋" w:hAnsi="仿宋" w:eastAsia="仿宋"/>
          <w:sz w:val="32"/>
          <w:szCs w:val="32"/>
        </w:rPr>
        <w:t>（项）预算数为</w:t>
      </w:r>
      <w:r>
        <w:rPr>
          <w:rFonts w:hint="eastAsia" w:ascii="仿宋" w:hAnsi="仿宋" w:eastAsia="仿宋"/>
          <w:sz w:val="32"/>
          <w:szCs w:val="32"/>
          <w:lang w:val="en-US" w:eastAsia="zh-CN"/>
        </w:rPr>
        <w:t>72.9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2024年执行数减少28.77万元，减少28.3%。主要是2024年人民防空支出增加人防工程建设规划编制费等项目。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社会保障和就业</w:t>
      </w:r>
      <w:r>
        <w:rPr>
          <w:rFonts w:hint="eastAsia" w:ascii="仿宋" w:hAnsi="仿宋" w:eastAsia="仿宋"/>
          <w:sz w:val="32"/>
          <w:szCs w:val="32"/>
        </w:rPr>
        <w:t>支出（类）行政事业单位养老支出（款）</w:t>
      </w:r>
      <w:r>
        <w:rPr>
          <w:rFonts w:hint="eastAsia" w:ascii="仿宋" w:hAnsi="仿宋" w:eastAsia="仿宋"/>
          <w:sz w:val="32"/>
          <w:szCs w:val="32"/>
          <w:lang w:eastAsia="zh-CN"/>
        </w:rPr>
        <w:t> 机关事业单位基本养老保险缴费支出</w:t>
      </w:r>
      <w:r>
        <w:rPr>
          <w:rFonts w:hint="eastAsia" w:ascii="仿宋" w:hAnsi="仿宋" w:eastAsia="仿宋"/>
          <w:sz w:val="32"/>
          <w:szCs w:val="32"/>
        </w:rPr>
        <w:t>（项）预算数为</w:t>
      </w:r>
      <w:r>
        <w:rPr>
          <w:rFonts w:hint="eastAsia" w:ascii="仿宋" w:hAnsi="仿宋" w:eastAsia="仿宋"/>
          <w:sz w:val="32"/>
          <w:szCs w:val="32"/>
          <w:lang w:val="en-US" w:eastAsia="zh-CN"/>
        </w:rPr>
        <w:t>204.37</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2024年执行数增加1.14万元，增加0.56%。主要是2025年人员增加。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社会保障和就业</w:t>
      </w:r>
      <w:r>
        <w:rPr>
          <w:rFonts w:hint="eastAsia" w:ascii="仿宋" w:hAnsi="仿宋" w:eastAsia="仿宋"/>
          <w:sz w:val="32"/>
          <w:szCs w:val="32"/>
        </w:rPr>
        <w:t>支出（类）行政事业单位养老支出（款）</w:t>
      </w:r>
      <w:r>
        <w:rPr>
          <w:rFonts w:hint="eastAsia" w:ascii="仿宋" w:hAnsi="仿宋" w:eastAsia="仿宋"/>
          <w:sz w:val="32"/>
          <w:szCs w:val="32"/>
          <w:lang w:eastAsia="zh-CN"/>
        </w:rPr>
        <w:t> 机关事业单位职业年金缴费支出</w:t>
      </w:r>
      <w:r>
        <w:rPr>
          <w:rFonts w:hint="eastAsia" w:ascii="仿宋" w:hAnsi="仿宋" w:eastAsia="仿宋"/>
          <w:sz w:val="32"/>
          <w:szCs w:val="32"/>
        </w:rPr>
        <w:t>（项）预算数为</w:t>
      </w:r>
      <w:r>
        <w:rPr>
          <w:rFonts w:hint="eastAsia" w:ascii="仿宋" w:hAnsi="仿宋" w:eastAsia="仿宋"/>
          <w:sz w:val="32"/>
          <w:szCs w:val="32"/>
          <w:lang w:val="en-US" w:eastAsia="zh-CN"/>
        </w:rPr>
        <w:t>33.84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2024年执行数增加33.84万元，增加100%。主要是2025年预算中增加退休人员执业年金缴费预算。</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lang w:eastAsia="zh-CN"/>
        </w:rPr>
        <w:t> 社会保障和就业支出</w:t>
      </w:r>
      <w:r>
        <w:rPr>
          <w:rFonts w:hint="eastAsia" w:ascii="仿宋" w:hAnsi="仿宋" w:eastAsia="仿宋"/>
          <w:sz w:val="32"/>
          <w:szCs w:val="32"/>
        </w:rPr>
        <w:t>（类）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w:t>
      </w:r>
      <w:r>
        <w:rPr>
          <w:rFonts w:hint="eastAsia" w:ascii="仿宋" w:hAnsi="仿宋" w:eastAsia="仿宋"/>
          <w:sz w:val="32"/>
          <w:szCs w:val="32"/>
        </w:rPr>
        <w:t>（项）预算数为</w:t>
      </w:r>
      <w:r>
        <w:rPr>
          <w:rFonts w:hint="eastAsia" w:ascii="仿宋" w:hAnsi="仿宋" w:eastAsia="仿宋"/>
          <w:sz w:val="32"/>
          <w:szCs w:val="32"/>
          <w:lang w:val="en-US" w:eastAsia="zh-CN"/>
        </w:rPr>
        <w:t>16.8</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2024年执行数增加16.8万元，增加100%。主要是2024年预决算中未体现公益性岗位补贴科目。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抚恤</w:t>
      </w:r>
      <w:r>
        <w:rPr>
          <w:rFonts w:hint="eastAsia" w:ascii="仿宋" w:hAnsi="仿宋" w:eastAsia="仿宋"/>
          <w:sz w:val="32"/>
          <w:szCs w:val="32"/>
        </w:rPr>
        <w:t>（款</w:t>
      </w:r>
      <w:r>
        <w:rPr>
          <w:rFonts w:hint="eastAsia" w:ascii="仿宋" w:hAnsi="仿宋" w:eastAsia="仿宋"/>
          <w:sz w:val="32"/>
          <w:szCs w:val="32"/>
          <w:lang w:eastAsia="zh-CN"/>
        </w:rPr>
        <w:t>）死亡抚恤</w:t>
      </w:r>
      <w:r>
        <w:rPr>
          <w:rFonts w:hint="eastAsia" w:ascii="仿宋" w:hAnsi="仿宋" w:eastAsia="仿宋"/>
          <w:sz w:val="32"/>
          <w:szCs w:val="32"/>
        </w:rPr>
        <w:t>（项）预算数为</w:t>
      </w:r>
      <w:r>
        <w:rPr>
          <w:rFonts w:hint="eastAsia" w:ascii="仿宋" w:hAnsi="仿宋" w:eastAsia="仿宋"/>
          <w:sz w:val="32"/>
          <w:szCs w:val="32"/>
          <w:lang w:val="en-US" w:eastAsia="zh-CN"/>
        </w:rPr>
        <w:t>1.14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2024年执行数增加1.14万元，增加100%。主要是2024年预决算中未体现公益性岗位补贴科目。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lang w:eastAsia="zh-CN"/>
        </w:rPr>
        <w:t>卫生健康支出</w:t>
      </w:r>
      <w:r>
        <w:rPr>
          <w:rFonts w:hint="eastAsia" w:ascii="仿宋" w:hAnsi="仿宋" w:eastAsia="仿宋"/>
          <w:sz w:val="32"/>
          <w:szCs w:val="32"/>
        </w:rPr>
        <w:t>（类） 行政事业单位医疗（款</w:t>
      </w:r>
      <w:r>
        <w:rPr>
          <w:rFonts w:hint="eastAsia"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lang w:val="en-US" w:eastAsia="zh-CN"/>
        </w:rPr>
        <w:t>127.15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2024年执行数增加7.52万元，增加6.29%。主要是2025年人员增加。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13.住房保障</w:t>
      </w:r>
      <w:r>
        <w:rPr>
          <w:rFonts w:hint="eastAsia" w:ascii="仿宋" w:hAnsi="仿宋" w:eastAsia="仿宋"/>
          <w:sz w:val="32"/>
          <w:szCs w:val="32"/>
          <w:lang w:eastAsia="zh-CN"/>
        </w:rPr>
        <w:t>支出</w:t>
      </w:r>
      <w:r>
        <w:rPr>
          <w:rFonts w:hint="eastAsia" w:ascii="仿宋" w:hAnsi="仿宋" w:eastAsia="仿宋"/>
          <w:sz w:val="32"/>
          <w:szCs w:val="32"/>
        </w:rPr>
        <w:t>（类） 住房改革支出（款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lang w:val="en-US" w:eastAsia="zh-CN"/>
        </w:rPr>
        <w:t>151.16</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2024年执行数增加13.66万元，增加8.29%。主要是2025年人员增加。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14. 粮油物资储备支出</w:t>
      </w:r>
      <w:r>
        <w:rPr>
          <w:rFonts w:hint="eastAsia" w:ascii="仿宋" w:hAnsi="仿宋" w:eastAsia="仿宋"/>
          <w:sz w:val="32"/>
          <w:szCs w:val="32"/>
        </w:rPr>
        <w:t>（类） 粮油物资事务（款</w:t>
      </w:r>
      <w:r>
        <w:rPr>
          <w:rFonts w:hint="eastAsia" w:ascii="仿宋" w:hAnsi="仿宋" w:eastAsia="仿宋"/>
          <w:sz w:val="32"/>
          <w:szCs w:val="32"/>
          <w:lang w:eastAsia="zh-CN"/>
        </w:rPr>
        <w:t>）专项业务活动</w:t>
      </w:r>
      <w:r>
        <w:rPr>
          <w:rFonts w:hint="eastAsia" w:ascii="仿宋" w:hAnsi="仿宋" w:eastAsia="仿宋"/>
          <w:sz w:val="32"/>
          <w:szCs w:val="32"/>
        </w:rPr>
        <w:t>（项）预算数为</w:t>
      </w:r>
      <w:r>
        <w:rPr>
          <w:rFonts w:hint="eastAsia" w:ascii="仿宋" w:hAnsi="仿宋" w:eastAsia="仿宋"/>
          <w:sz w:val="32"/>
          <w:szCs w:val="32"/>
          <w:lang w:val="en-US" w:eastAsia="zh-CN"/>
        </w:rPr>
        <w:t>20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2024年执行数增加0.68万元，增加3.52%。</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 粮油物资储备支出</w:t>
      </w:r>
      <w:r>
        <w:rPr>
          <w:rFonts w:hint="eastAsia" w:ascii="仿宋" w:hAnsi="仿宋" w:eastAsia="仿宋"/>
          <w:sz w:val="32"/>
          <w:szCs w:val="32"/>
        </w:rPr>
        <w:t>（类） 粮油物资事务（款</w:t>
      </w:r>
      <w:r>
        <w:rPr>
          <w:rFonts w:hint="eastAsia" w:ascii="仿宋" w:hAnsi="仿宋" w:eastAsia="仿宋"/>
          <w:sz w:val="32"/>
          <w:szCs w:val="32"/>
          <w:lang w:eastAsia="zh-CN"/>
        </w:rPr>
        <w:t>）其他粮油物资事务支出</w:t>
      </w:r>
      <w:r>
        <w:rPr>
          <w:rFonts w:hint="eastAsia" w:ascii="仿宋" w:hAnsi="仿宋" w:eastAsia="仿宋"/>
          <w:sz w:val="32"/>
          <w:szCs w:val="32"/>
        </w:rPr>
        <w:t>（项）预算数为</w:t>
      </w:r>
      <w:r>
        <w:rPr>
          <w:rFonts w:hint="eastAsia" w:ascii="仿宋" w:hAnsi="仿宋" w:eastAsia="仿宋"/>
          <w:sz w:val="32"/>
          <w:szCs w:val="32"/>
          <w:lang w:val="en-US" w:eastAsia="zh-CN"/>
        </w:rPr>
        <w:t>162.69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2024年执行数减少356.9万元，下降68.67%。主要是2024年追加自治区粮食储备物资轮换费用等。</w:t>
      </w:r>
    </w:p>
    <w:p>
      <w:pPr>
        <w:pStyle w:val="2"/>
        <w:ind w:firstLine="568"/>
        <w:rPr>
          <w:rFonts w:hint="eastAsia" w:ascii="仿宋" w:hAnsi="仿宋" w:eastAsia="仿宋"/>
          <w:sz w:val="32"/>
          <w:szCs w:val="32"/>
          <w:lang w:val="en-US" w:eastAsia="zh-CN"/>
        </w:rPr>
      </w:pPr>
      <w:r>
        <w:rPr>
          <w:rFonts w:hint="eastAsia" w:ascii="仿宋" w:hAnsi="仿宋" w:eastAsia="仿宋"/>
          <w:sz w:val="32"/>
          <w:szCs w:val="32"/>
          <w:lang w:val="en-US" w:eastAsia="zh-CN"/>
        </w:rPr>
        <w:t>16.粮油物资储备支出</w:t>
      </w:r>
      <w:r>
        <w:rPr>
          <w:rFonts w:hint="eastAsia" w:ascii="仿宋" w:hAnsi="仿宋" w:eastAsia="仿宋"/>
          <w:sz w:val="32"/>
          <w:szCs w:val="32"/>
        </w:rPr>
        <w:t>（类） 粮油物资事务（款</w:t>
      </w:r>
      <w:r>
        <w:rPr>
          <w:rFonts w:hint="eastAsia" w:ascii="仿宋" w:hAnsi="仿宋" w:eastAsia="仿宋"/>
          <w:sz w:val="32"/>
          <w:szCs w:val="32"/>
          <w:lang w:eastAsia="zh-CN"/>
        </w:rPr>
        <w:t>）粮食风险基金</w:t>
      </w:r>
      <w:r>
        <w:rPr>
          <w:rFonts w:hint="eastAsia" w:ascii="仿宋" w:hAnsi="仿宋" w:eastAsia="仿宋"/>
          <w:sz w:val="32"/>
          <w:szCs w:val="32"/>
        </w:rPr>
        <w:t>（项）预算数为</w:t>
      </w:r>
      <w:r>
        <w:rPr>
          <w:rFonts w:hint="eastAsia" w:ascii="仿宋" w:hAnsi="仿宋" w:eastAsia="仿宋"/>
          <w:sz w:val="32"/>
          <w:szCs w:val="32"/>
          <w:lang w:val="en-US" w:eastAsia="zh-CN"/>
        </w:rPr>
        <w:t>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2024年执行数增加5万元，增加100%。主要是每年都需列粮食风险基金预算，但只有在粮食储备出现问题，粮食市场不稳定时使用，2024年未使用粮食风险基金。</w:t>
      </w:r>
    </w:p>
    <w:p>
      <w:pPr>
        <w:ind w:firstLine="568"/>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17.</w:t>
      </w:r>
      <w:r>
        <w:rPr>
          <w:rFonts w:hint="eastAsia" w:ascii="仿宋" w:hAnsi="仿宋" w:eastAsia="仿宋"/>
          <w:sz w:val="32"/>
          <w:szCs w:val="32"/>
          <w:lang w:val="en-US" w:eastAsia="zh-CN"/>
        </w:rPr>
        <w:t>灾害防治及应急管理支出</w:t>
      </w:r>
      <w:r>
        <w:rPr>
          <w:rFonts w:hint="eastAsia" w:ascii="仿宋" w:hAnsi="仿宋" w:eastAsia="仿宋"/>
          <w:sz w:val="32"/>
          <w:szCs w:val="32"/>
        </w:rPr>
        <w:t>（类） </w:t>
      </w:r>
      <w:r>
        <w:rPr>
          <w:rFonts w:hint="eastAsia" w:ascii="仿宋" w:hAnsi="仿宋" w:eastAsia="仿宋"/>
          <w:sz w:val="32"/>
          <w:szCs w:val="32"/>
          <w:lang w:eastAsia="zh-CN"/>
        </w:rPr>
        <w:t>应急管理事物</w:t>
      </w:r>
      <w:r>
        <w:rPr>
          <w:rFonts w:hint="eastAsia" w:ascii="仿宋" w:hAnsi="仿宋" w:eastAsia="仿宋"/>
          <w:sz w:val="32"/>
          <w:szCs w:val="32"/>
        </w:rPr>
        <w:t>（款</w:t>
      </w:r>
      <w:r>
        <w:rPr>
          <w:rFonts w:hint="eastAsia" w:ascii="仿宋" w:hAnsi="仿宋" w:eastAsia="仿宋"/>
          <w:sz w:val="32"/>
          <w:szCs w:val="32"/>
          <w:lang w:eastAsia="zh-CN"/>
        </w:rPr>
        <w:t>）应急管理</w:t>
      </w:r>
      <w:r>
        <w:rPr>
          <w:rFonts w:hint="eastAsia" w:ascii="仿宋" w:hAnsi="仿宋" w:eastAsia="仿宋"/>
          <w:sz w:val="32"/>
          <w:szCs w:val="32"/>
        </w:rPr>
        <w:t>（项）预算数</w:t>
      </w:r>
      <w:r>
        <w:rPr>
          <w:rFonts w:hint="eastAsia" w:ascii="仿宋" w:hAnsi="仿宋" w:eastAsia="仿宋"/>
          <w:sz w:val="32"/>
          <w:szCs w:val="32"/>
          <w:lang w:val="en-US" w:eastAsia="zh-CN"/>
        </w:rPr>
        <w:t>81.88万元，比2024年执行数增加56.38万元，增加221.1%。主要原因是2025年预算将救灾物资管理费用列入灾害防治及应急管理类支出中。</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3319.73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2072.96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118.08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86</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13</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lang w:val="en-US" w:eastAsia="zh-CN"/>
        </w:rPr>
        <w:t>1</w:t>
      </w:r>
      <w:r>
        <w:rPr>
          <w:rFonts w:hint="eastAsia" w:ascii="仿宋" w:hAnsi="仿宋" w:eastAsia="仿宋"/>
          <w:sz w:val="32"/>
          <w:szCs w:val="32"/>
        </w:rPr>
        <w:t>万元，压缩</w:t>
      </w:r>
      <w:r>
        <w:rPr>
          <w:rFonts w:hint="eastAsia" w:ascii="仿宋" w:hAnsi="仿宋" w:eastAsia="仿宋"/>
          <w:sz w:val="32"/>
          <w:szCs w:val="32"/>
          <w:lang w:val="en-US" w:eastAsia="zh-CN"/>
        </w:rPr>
        <w:t>1.16</w:t>
      </w:r>
      <w:r>
        <w:rPr>
          <w:rFonts w:hint="eastAsia" w:ascii="仿宋" w:hAnsi="仿宋" w:eastAsia="仿宋"/>
          <w:sz w:val="32"/>
          <w:szCs w:val="32"/>
        </w:rPr>
        <w:t>%，主要原因是</w:t>
      </w:r>
      <w:r>
        <w:rPr>
          <w:rFonts w:hint="eastAsia" w:ascii="仿宋" w:hAnsi="仿宋" w:eastAsia="仿宋"/>
          <w:sz w:val="32"/>
          <w:szCs w:val="32"/>
          <w:lang w:val="en-US" w:eastAsia="zh-CN"/>
        </w:rPr>
        <w:t>2024年接待费用列的较多，实际发生的费用未达到预算金额，本年度三公经费少列了1万元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60</w:t>
      </w:r>
      <w:r>
        <w:rPr>
          <w:rFonts w:hint="eastAsia" w:ascii="仿宋" w:hAnsi="仿宋" w:eastAsia="仿宋"/>
          <w:sz w:val="32"/>
          <w:szCs w:val="32"/>
        </w:rPr>
        <w:t>批次、</w:t>
      </w:r>
      <w:r>
        <w:rPr>
          <w:rFonts w:hint="eastAsia" w:ascii="仿宋" w:hAnsi="仿宋" w:eastAsia="仿宋"/>
          <w:sz w:val="32"/>
          <w:szCs w:val="32"/>
          <w:u w:val="single"/>
          <w:lang w:val="en-US" w:eastAsia="zh-CN"/>
        </w:rPr>
        <w:t>756</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单位2025</w:t>
      </w:r>
      <w:r>
        <w:rPr>
          <w:rFonts w:hint="eastAsia" w:ascii="仿宋" w:hAnsi="仿宋" w:eastAsia="仿宋"/>
          <w:sz w:val="32"/>
          <w:szCs w:val="32"/>
        </w:rPr>
        <w:t>年度没有政府性基金安排的支出</w:t>
      </w:r>
    </w:p>
    <w:p>
      <w:pPr>
        <w:numPr>
          <w:ilvl w:val="0"/>
          <w:numId w:val="3"/>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黑体" w:hAnsi="黑体" w:eastAsia="黑体"/>
          <w:sz w:val="32"/>
          <w:szCs w:val="32"/>
          <w:lang w:val="en-US"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2025年度无政府性基金“三公”经费预算。</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lang w:val="en-US" w:eastAsia="zh-CN"/>
        </w:rPr>
        <w:t>1</w:t>
      </w:r>
      <w:r>
        <w:rPr>
          <w:rFonts w:hint="eastAsia" w:ascii="仿宋" w:hAnsi="仿宋" w:eastAsia="仿宋"/>
          <w:sz w:val="32"/>
          <w:szCs w:val="32"/>
        </w:rPr>
        <w:t>家行政单位</w:t>
      </w:r>
      <w:r>
        <w:rPr>
          <w:rFonts w:hint="eastAsia" w:ascii="仿宋" w:hAnsi="仿宋" w:eastAsia="仿宋"/>
          <w:sz w:val="32"/>
          <w:szCs w:val="32"/>
          <w:lang w:eastAsia="zh-CN"/>
        </w:rPr>
        <w:t>，</w:t>
      </w:r>
      <w:r>
        <w:rPr>
          <w:rFonts w:hint="eastAsia" w:ascii="仿宋" w:hAnsi="仿宋" w:eastAsia="仿宋"/>
          <w:sz w:val="32"/>
          <w:szCs w:val="32"/>
        </w:rPr>
        <w:t>机关运行经费财政拨款预算</w:t>
      </w:r>
      <w:r>
        <w:rPr>
          <w:rFonts w:hint="eastAsia" w:ascii="仿宋" w:hAnsi="仿宋" w:eastAsia="仿宋"/>
          <w:sz w:val="32"/>
          <w:szCs w:val="32"/>
          <w:lang w:val="en-US" w:eastAsia="zh-CN"/>
        </w:rPr>
        <w:t>3394.77</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hint="eastAsia" w:ascii="仿宋" w:hAnsi="仿宋" w:eastAsia="仿宋"/>
          <w:sz w:val="32"/>
          <w:szCs w:val="32"/>
          <w:lang w:val="en-US" w:eastAsia="zh-CN"/>
        </w:rPr>
        <w:t>526.67</w:t>
      </w:r>
      <w:r>
        <w:rPr>
          <w:rFonts w:hint="eastAsia" w:ascii="仿宋" w:hAnsi="仿宋" w:eastAsia="仿宋"/>
          <w:sz w:val="32"/>
          <w:szCs w:val="32"/>
        </w:rPr>
        <w:t>万元，增长</w:t>
      </w:r>
      <w:r>
        <w:rPr>
          <w:rFonts w:hint="eastAsia" w:ascii="仿宋_GB2312" w:eastAsia="仿宋_GB2312" w:cs="仿宋_GB2312" w:hAnsiTheme="minorHAnsi"/>
          <w:kern w:val="0"/>
          <w:sz w:val="32"/>
          <w:szCs w:val="32"/>
          <w:lang w:val="en-US" w:eastAsia="zh-CN"/>
        </w:rPr>
        <w:t>18.36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2024年人员增加，人员经费及公用经费增加，项目经费中增加十五五规划项目</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lang w:val="en-US" w:eastAsia="zh-CN"/>
        </w:rPr>
        <w:t>200</w:t>
      </w:r>
      <w:r>
        <w:rPr>
          <w:rFonts w:hint="eastAsia" w:ascii="仿宋" w:hAnsi="仿宋" w:eastAsia="仿宋"/>
          <w:sz w:val="32"/>
          <w:szCs w:val="32"/>
        </w:rPr>
        <w:t>万元，其中：政府采购服务预算</w:t>
      </w:r>
      <w:r>
        <w:rPr>
          <w:rFonts w:hint="eastAsia" w:ascii="仿宋_GB2312" w:eastAsia="仿宋_GB2312" w:cs="仿宋_GB2312" w:hAnsiTheme="minorHAnsi"/>
          <w:kern w:val="0"/>
          <w:sz w:val="32"/>
          <w:szCs w:val="32"/>
          <w:lang w:val="en-US" w:eastAsia="zh-CN"/>
        </w:rPr>
        <w:t>200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lang w:val="en-US" w:eastAsia="zh-CN"/>
        </w:rPr>
        <w:t>11</w:t>
      </w:r>
      <w:r>
        <w:rPr>
          <w:rFonts w:hint="eastAsia" w:ascii="仿宋" w:hAnsi="仿宋" w:eastAsia="仿宋"/>
          <w:sz w:val="32"/>
          <w:szCs w:val="32"/>
        </w:rPr>
        <w:t>辆，其中</w:t>
      </w:r>
      <w:r>
        <w:rPr>
          <w:rFonts w:hint="eastAsia" w:ascii="仿宋" w:hAnsi="仿宋" w:eastAsia="仿宋"/>
          <w:sz w:val="32"/>
          <w:szCs w:val="32"/>
          <w:lang w:eastAsia="zh-CN"/>
        </w:rPr>
        <w:t>：</w:t>
      </w:r>
      <w:r>
        <w:rPr>
          <w:rFonts w:hint="eastAsia" w:ascii="仿宋" w:hAnsi="仿宋" w:eastAsia="仿宋"/>
          <w:sz w:val="32"/>
          <w:szCs w:val="32"/>
        </w:rPr>
        <w:t>特种专业技术用车</w:t>
      </w:r>
      <w:r>
        <w:rPr>
          <w:rFonts w:hint="eastAsia" w:ascii="仿宋_GB2312" w:eastAsia="仿宋_GB2312" w:cs="仿宋_GB2312" w:hAnsiTheme="minorHAnsi"/>
          <w:kern w:val="0"/>
          <w:sz w:val="32"/>
          <w:szCs w:val="32"/>
          <w:lang w:val="en-US" w:eastAsia="zh-CN"/>
        </w:rPr>
        <w:t>3</w:t>
      </w:r>
      <w:r>
        <w:rPr>
          <w:rFonts w:hint="eastAsia" w:ascii="仿宋" w:hAnsi="仿宋" w:eastAsia="仿宋"/>
          <w:sz w:val="32"/>
          <w:szCs w:val="32"/>
        </w:rPr>
        <w:t>辆、其他用车</w:t>
      </w:r>
      <w:r>
        <w:rPr>
          <w:rFonts w:hint="eastAsia" w:ascii="仿宋_GB2312" w:eastAsia="仿宋_GB2312" w:cs="仿宋_GB2312" w:hAnsiTheme="minorHAnsi"/>
          <w:kern w:val="0"/>
          <w:sz w:val="32"/>
          <w:szCs w:val="32"/>
          <w:lang w:val="en-US" w:eastAsia="zh-CN"/>
        </w:rPr>
        <w:t>8</w:t>
      </w:r>
      <w:r>
        <w:rPr>
          <w:rFonts w:hint="eastAsia" w:ascii="仿宋" w:hAnsi="仿宋" w:eastAsia="仿宋"/>
          <w:sz w:val="32"/>
          <w:szCs w:val="32"/>
        </w:rPr>
        <w:t>辆，其他用车主要是</w:t>
      </w:r>
      <w:r>
        <w:rPr>
          <w:rFonts w:hint="eastAsia" w:ascii="仿宋" w:hAnsi="仿宋" w:eastAsia="仿宋"/>
          <w:sz w:val="32"/>
          <w:szCs w:val="32"/>
          <w:lang w:eastAsia="zh-CN"/>
        </w:rPr>
        <w:t>用于干部职工下乡、出差、市内开会、送件等</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lang w:val="en-US" w:eastAsia="zh-CN"/>
        </w:rPr>
        <w:t>7</w:t>
      </w:r>
      <w:r>
        <w:rPr>
          <w:rFonts w:hint="eastAsia" w:ascii="仿宋" w:hAnsi="仿宋" w:eastAsia="仿宋"/>
          <w:sz w:val="32"/>
          <w:szCs w:val="32"/>
        </w:rPr>
        <w:t>台，单位价值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2</w:t>
      </w:r>
      <w:r>
        <w:rPr>
          <w:rFonts w:hint="eastAsia" w:ascii="仿宋" w:hAnsi="仿宋" w:eastAsia="仿宋"/>
          <w:sz w:val="32"/>
          <w:szCs w:val="32"/>
        </w:rPr>
        <w:t>台</w:t>
      </w:r>
      <w:r>
        <w:rPr>
          <w:rFonts w:hint="eastAsia" w:ascii="仿宋" w:hAnsi="仿宋" w:eastAsia="仿宋"/>
          <w:sz w:val="32"/>
          <w:szCs w:val="32"/>
          <w:lang w:val="en-US" w:eastAsia="zh-CN"/>
        </w:rPr>
        <w:t>2</w:t>
      </w:r>
      <w:r>
        <w:rPr>
          <w:rFonts w:hint="eastAsia" w:ascii="仿宋" w:hAnsi="仿宋" w:eastAsia="仿宋"/>
          <w:sz w:val="32"/>
          <w:szCs w:val="32"/>
        </w:rPr>
        <w:t>。</w:t>
      </w:r>
      <w:r>
        <w:rPr>
          <w:rFonts w:ascii="仿宋" w:hAnsi="仿宋" w:eastAsia="仿宋"/>
          <w:sz w:val="32"/>
          <w:szCs w:val="32"/>
        </w:rPr>
        <w:t>2024</w:t>
      </w:r>
      <w:r>
        <w:rPr>
          <w:rFonts w:hint="eastAsia" w:ascii="仿宋" w:hAnsi="仿宋" w:eastAsia="仿宋"/>
          <w:sz w:val="32"/>
          <w:szCs w:val="32"/>
        </w:rPr>
        <w:t>年一般公共预算</w:t>
      </w:r>
      <w:r>
        <w:rPr>
          <w:rFonts w:hint="eastAsia" w:ascii="仿宋" w:hAnsi="仿宋" w:eastAsia="仿宋"/>
          <w:sz w:val="32"/>
          <w:szCs w:val="32"/>
          <w:lang w:eastAsia="zh-CN"/>
        </w:rPr>
        <w:t>没有</w:t>
      </w:r>
      <w:r>
        <w:rPr>
          <w:rFonts w:hint="eastAsia" w:ascii="仿宋" w:hAnsi="仿宋" w:eastAsia="仿宋"/>
          <w:sz w:val="32"/>
          <w:szCs w:val="32"/>
        </w:rPr>
        <w:t>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26</w:t>
      </w:r>
      <w:r>
        <w:rPr>
          <w:rFonts w:hint="eastAsia" w:ascii="仿宋" w:hAnsi="仿宋" w:eastAsia="仿宋"/>
          <w:sz w:val="32"/>
          <w:szCs w:val="32"/>
        </w:rPr>
        <w:t>个，资金</w:t>
      </w:r>
      <w:r>
        <w:rPr>
          <w:rFonts w:hint="eastAsia" w:ascii="仿宋_GB2312" w:eastAsia="仿宋_GB2312" w:cs="仿宋_GB2312" w:hAnsiTheme="minorHAnsi"/>
          <w:kern w:val="0"/>
          <w:sz w:val="32"/>
          <w:szCs w:val="32"/>
          <w:lang w:val="en-US" w:eastAsia="zh-CN"/>
        </w:rPr>
        <w:t>1128.69</w:t>
      </w:r>
      <w:r>
        <w:rPr>
          <w:rFonts w:hint="eastAsia" w:ascii="仿宋" w:hAnsi="仿宋" w:eastAsia="仿宋"/>
          <w:sz w:val="32"/>
          <w:szCs w:val="32"/>
        </w:rPr>
        <w:t>万元，其中：地方资金</w:t>
      </w:r>
      <w:r>
        <w:rPr>
          <w:rFonts w:hint="eastAsia" w:ascii="仿宋_GB2312" w:eastAsia="仿宋_GB2312" w:cs="仿宋_GB2312" w:hAnsiTheme="minorHAnsi"/>
          <w:kern w:val="0"/>
          <w:sz w:val="32"/>
          <w:szCs w:val="32"/>
          <w:lang w:val="en-US" w:eastAsia="zh-CN"/>
        </w:rPr>
        <w:t>1128.69</w:t>
      </w:r>
      <w:r>
        <w:rPr>
          <w:rFonts w:hint="eastAsia" w:ascii="仿宋" w:hAnsi="仿宋" w:eastAsia="仿宋"/>
          <w:sz w:val="32"/>
          <w:szCs w:val="32"/>
        </w:rPr>
        <w:t>万元。重点项目实行绩效目标管理</w:t>
      </w:r>
      <w:r>
        <w:rPr>
          <w:rFonts w:hint="eastAsia" w:ascii="仿宋" w:hAnsi="仿宋" w:eastAsia="仿宋"/>
          <w:sz w:val="32"/>
          <w:szCs w:val="32"/>
          <w:lang w:val="en-US" w:eastAsia="zh-CN"/>
        </w:rPr>
        <w:t>26</w:t>
      </w:r>
      <w:r>
        <w:rPr>
          <w:rFonts w:hint="eastAsia" w:ascii="仿宋" w:hAnsi="仿宋" w:eastAsia="仿宋"/>
          <w:sz w:val="32"/>
          <w:szCs w:val="32"/>
        </w:rPr>
        <w:t>个，分别是</w:t>
      </w:r>
      <w:r>
        <w:rPr>
          <w:rFonts w:hint="eastAsia" w:ascii="仿宋" w:hAnsi="仿宋" w:eastAsia="仿宋"/>
          <w:sz w:val="32"/>
          <w:szCs w:val="32"/>
          <w:lang w:eastAsia="zh-CN"/>
        </w:rPr>
        <w:t>工作业务经费</w:t>
      </w:r>
      <w:r>
        <w:rPr>
          <w:rFonts w:hint="eastAsia" w:ascii="仿宋" w:hAnsi="仿宋" w:eastAsia="仿宋"/>
          <w:sz w:val="32"/>
          <w:szCs w:val="32"/>
          <w:lang w:val="en-US" w:eastAsia="zh-CN"/>
        </w:rPr>
        <w:t>140</w:t>
      </w:r>
      <w:r>
        <w:rPr>
          <w:rFonts w:hint="eastAsia" w:ascii="仿宋" w:hAnsi="仿宋" w:eastAsia="仿宋"/>
          <w:sz w:val="32"/>
          <w:szCs w:val="32"/>
        </w:rPr>
        <w:t>万元，占年初项目支出预算总额的</w:t>
      </w:r>
      <w:r>
        <w:rPr>
          <w:rFonts w:hint="eastAsia" w:ascii="仿宋" w:hAnsi="仿宋" w:eastAsia="仿宋"/>
          <w:sz w:val="32"/>
          <w:szCs w:val="32"/>
          <w:lang w:val="en-US" w:eastAsia="zh-CN"/>
        </w:rPr>
        <w:t>12.4</w:t>
      </w:r>
      <w:r>
        <w:rPr>
          <w:rFonts w:hint="eastAsia" w:ascii="仿宋" w:hAnsi="仿宋" w:eastAsia="仿宋"/>
          <w:sz w:val="32"/>
          <w:szCs w:val="32"/>
        </w:rPr>
        <w:t>%</w:t>
      </w:r>
      <w:r>
        <w:rPr>
          <w:rFonts w:hint="eastAsia" w:ascii="仿宋" w:hAnsi="仿宋" w:eastAsia="仿宋"/>
          <w:sz w:val="32"/>
          <w:szCs w:val="32"/>
          <w:lang w:eastAsia="zh-CN"/>
        </w:rPr>
        <w:t>；党建经费</w:t>
      </w:r>
      <w:r>
        <w:rPr>
          <w:rFonts w:hint="eastAsia" w:ascii="仿宋" w:hAnsi="仿宋" w:eastAsia="仿宋"/>
          <w:sz w:val="32"/>
          <w:szCs w:val="32"/>
          <w:lang w:val="en-US" w:eastAsia="zh-CN"/>
        </w:rPr>
        <w:t>19.84万元，占年初项目支出预算总额的1.76%；法律顾问费5万元，占年初项目支出预算总额的0.44%；工程建设项目咨询评估费200万元，占年初项目支出预算总额的17.72%；粮食风险基金5万元，占年初项目支出预算总额的0.44%；价格监审经费10万元，占年初项目支出预算总额的0.88%；救灾物资储备管理经费81.88万元，占年初项目支出预算总额的7.25%；粮食和储备业务经费20万元，占年初项目支出预算总额的1.77%；十五五规划编制费90万元，占年初项目支出预算总额的7.97%；人防业务经费48.96万元，占年初项目支出预算总额的4.34%；应急储备粮保管费及贷款利息60.12万元，占年初项目支出预算总额的5.33%；储备粮轮换费102.57万元，占年初项目支出预算总额的9.08%；周转房维修改造0.28万元，占年初项目支出预算总额的0.02%；人才引进12.9万元，占年初项目支出预算总额的1.14%；GLGS十四五时期经济发展与基础设施规划编制费6万元，占年初项目支出预算总额的0.53%；人防工程建设规划编制费24万元，占年初项目支出预算总额的2.12%；优化营商环境咨询服务费39.5万元，占年初项目支出预算总额的3.5%；人民防空警报器建设项目72.9万元，占年初项目支出预算总额的6.46%；人防地下室标识标牌更换24.34万元，占年初项目支出预算总额的2.17%；人口发展中长期规划及应对举措编制费20万元，占年初项目支出预算总额的1.77%；基本建设项目前期工作培训经费30万元，占年初项目支出预算总额的2.67%；二次诉讼费5万元，占年初项目支出预算总额的0.44%；国产涉密电脑项目13.6万元，占年初项目支出预算总额的1.3%；边境地区发展规划及应对举措编制费30万元，占年初项目支出预算总额的2.66%；市信用体系建设第三方服务50万元，占年初项目支出预算总额的4.43%；公益性岗位补贴16.8万元，占年初项目支出预算总额的1.5%</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本单位无扶贫资金。</w:t>
      </w:r>
    </w:p>
    <w:p>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单位无</w:t>
      </w:r>
      <w:r>
        <w:rPr>
          <w:rFonts w:hint="eastAsia" w:ascii="仿宋" w:hAnsi="仿宋" w:eastAsia="仿宋"/>
          <w:sz w:val="32"/>
          <w:szCs w:val="32"/>
        </w:rPr>
        <w:t>使用和管理政府债券资金</w:t>
      </w:r>
      <w:r>
        <w:rPr>
          <w:rFonts w:hint="eastAsia" w:ascii="仿宋" w:hAnsi="仿宋" w:eastAsia="仿宋"/>
          <w:sz w:val="32"/>
          <w:szCs w:val="32"/>
          <w:lang w:eastAsia="zh-CN"/>
        </w:rPr>
        <w:t>。</w:t>
      </w:r>
    </w:p>
    <w:p>
      <w:pPr>
        <w:ind w:firstLine="640" w:firstLineChars="200"/>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9B957"/>
    <w:multiLevelType w:val="singleLevel"/>
    <w:tmpl w:val="65B9B957"/>
    <w:lvl w:ilvl="0" w:tentative="0">
      <w:start w:val="2"/>
      <w:numFmt w:val="decimal"/>
      <w:suff w:val="nothing"/>
      <w:lvlText w:val="%1."/>
      <w:lvlJc w:val="left"/>
    </w:lvl>
  </w:abstractNum>
  <w:abstractNum w:abstractNumId="1">
    <w:nsid w:val="6792FE79"/>
    <w:multiLevelType w:val="singleLevel"/>
    <w:tmpl w:val="6792FE79"/>
    <w:lvl w:ilvl="0" w:tentative="0">
      <w:start w:val="17"/>
      <w:numFmt w:val="chineseCounting"/>
      <w:suff w:val="nothing"/>
      <w:lvlText w:val="%1、"/>
      <w:lvlJc w:val="left"/>
    </w:lvl>
  </w:abstractNum>
  <w:abstractNum w:abstractNumId="2">
    <w:nsid w:val="679347DF"/>
    <w:multiLevelType w:val="singleLevel"/>
    <w:tmpl w:val="679347DF"/>
    <w:lvl w:ilvl="0" w:tentative="0">
      <w:start w:val="9"/>
      <w:numFmt w:val="chineseCounting"/>
      <w:suff w:val="nothing"/>
      <w:lvlText w:val="%1、"/>
      <w:lvlJc w:val="left"/>
    </w:lvl>
  </w:abstractNum>
  <w:abstractNum w:abstractNumId="3">
    <w:nsid w:val="6793492F"/>
    <w:multiLevelType w:val="singleLevel"/>
    <w:tmpl w:val="6793492F"/>
    <w:lvl w:ilvl="0" w:tentative="0">
      <w:start w:val="6"/>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Dk5MmQ0NzJhN2NjOTM0YzdkMmExNDRiNDljZWQ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224F20"/>
    <w:rsid w:val="1CEE61F2"/>
    <w:rsid w:val="29D35CCA"/>
    <w:rsid w:val="2C514E1D"/>
    <w:rsid w:val="37E37F84"/>
    <w:rsid w:val="45D26A06"/>
    <w:rsid w:val="4F941E06"/>
    <w:rsid w:val="50A9410C"/>
    <w:rsid w:val="557B4E6C"/>
    <w:rsid w:val="60473D11"/>
    <w:rsid w:val="63C34F0A"/>
    <w:rsid w:val="658B24C5"/>
    <w:rsid w:val="691D6B1E"/>
    <w:rsid w:val="6B421D09"/>
    <w:rsid w:val="6EBA5CD7"/>
    <w:rsid w:val="7E1E40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uiPriority w:val="99"/>
    <w:pPr>
      <w:spacing w:before="100" w:beforeLines="0" w:beforeAutospacing="1" w:after="100" w:afterLines="0" w:afterAutospacing="1"/>
      <w:jc w:val="left"/>
    </w:pPr>
    <w:rPr>
      <w:rFonts w:hint="eastAsia" w:ascii="宋体" w:hAnsi="宋体"/>
      <w:kern w:val="0"/>
      <w:sz w:val="24"/>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2025-01-24T08:22:41Z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25565885528E4B87BEA212E17EF1B966_12</vt:lpwstr>
  </property>
</Properties>
</file>