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17" w:rsidRDefault="00B81717">
      <w:pPr>
        <w:jc w:val="center"/>
        <w:rPr>
          <w:rFonts w:ascii="黑体" w:eastAsia="黑体" w:hAnsi="仿宋_GB2312" w:cs="仿宋_GB2312" w:hint="eastAsia"/>
          <w:sz w:val="72"/>
          <w:szCs w:val="72"/>
        </w:rPr>
      </w:pPr>
    </w:p>
    <w:p w:rsidR="00B81717" w:rsidRDefault="00B81717">
      <w:pPr>
        <w:jc w:val="center"/>
        <w:rPr>
          <w:rFonts w:ascii="黑体" w:eastAsia="黑体" w:hAnsi="仿宋_GB2312" w:cs="仿宋_GB2312"/>
          <w:sz w:val="72"/>
          <w:szCs w:val="72"/>
        </w:rPr>
      </w:pPr>
    </w:p>
    <w:p w:rsidR="00B81717" w:rsidRDefault="00B81717">
      <w:pPr>
        <w:jc w:val="center"/>
        <w:rPr>
          <w:rFonts w:ascii="黑体" w:eastAsia="黑体" w:hAnsi="仿宋_GB2312" w:cs="仿宋_GB2312"/>
          <w:sz w:val="72"/>
          <w:szCs w:val="72"/>
        </w:rPr>
      </w:pPr>
    </w:p>
    <w:p w:rsidR="00B81717" w:rsidRDefault="00B81717">
      <w:pPr>
        <w:jc w:val="center"/>
        <w:rPr>
          <w:rFonts w:ascii="黑体" w:eastAsia="黑体" w:hAnsi="仿宋_GB2312" w:cs="仿宋_GB2312"/>
          <w:sz w:val="72"/>
          <w:szCs w:val="72"/>
        </w:rPr>
      </w:pPr>
    </w:p>
    <w:p w:rsidR="00B81717" w:rsidRDefault="00B81717">
      <w:pPr>
        <w:jc w:val="center"/>
        <w:rPr>
          <w:rFonts w:ascii="黑体" w:eastAsia="黑体" w:hAnsi="仿宋_GB2312" w:cs="仿宋_GB2312"/>
          <w:sz w:val="72"/>
          <w:szCs w:val="72"/>
        </w:rPr>
      </w:pPr>
    </w:p>
    <w:p w:rsidR="00B81717" w:rsidRDefault="00B81717">
      <w:pPr>
        <w:jc w:val="center"/>
        <w:rPr>
          <w:rFonts w:ascii="黑体" w:eastAsia="黑体" w:hAnsi="仿宋_GB2312" w:cs="仿宋_GB2312"/>
          <w:sz w:val="72"/>
          <w:szCs w:val="72"/>
        </w:rPr>
      </w:pPr>
    </w:p>
    <w:p w:rsidR="00B81717" w:rsidRDefault="00FB5EE3">
      <w:pPr>
        <w:jc w:val="center"/>
        <w:rPr>
          <w:rFonts w:ascii="黑体" w:eastAsia="黑体" w:hAnsi="仿宋_GB2312" w:cs="仿宋_GB2312"/>
          <w:sz w:val="72"/>
          <w:szCs w:val="72"/>
        </w:rPr>
      </w:pPr>
      <w:r>
        <w:rPr>
          <w:rFonts w:ascii="黑体" w:eastAsia="黑体" w:hAnsi="仿宋_GB2312" w:cs="仿宋_GB2312" w:hint="eastAsia"/>
          <w:sz w:val="72"/>
          <w:szCs w:val="72"/>
        </w:rPr>
        <w:t>玉许一小</w:t>
      </w:r>
    </w:p>
    <w:p w:rsidR="00B81717" w:rsidRDefault="00FB5EE3">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B81717" w:rsidRDefault="00B81717">
      <w:pPr>
        <w:ind w:firstLineChars="200" w:firstLine="1680"/>
        <w:rPr>
          <w:rFonts w:ascii="宋体" w:cs="宋体"/>
          <w:sz w:val="84"/>
          <w:szCs w:val="84"/>
        </w:rPr>
      </w:pPr>
    </w:p>
    <w:p w:rsidR="00B81717" w:rsidRDefault="00B81717">
      <w:pPr>
        <w:ind w:firstLineChars="200" w:firstLine="1680"/>
        <w:rPr>
          <w:rFonts w:ascii="宋体" w:cs="宋体"/>
          <w:sz w:val="84"/>
          <w:szCs w:val="84"/>
        </w:rPr>
      </w:pPr>
    </w:p>
    <w:p w:rsidR="00B81717" w:rsidRDefault="00B81717">
      <w:pPr>
        <w:ind w:firstLineChars="200" w:firstLine="1680"/>
        <w:rPr>
          <w:rFonts w:ascii="宋体" w:cs="宋体"/>
          <w:sz w:val="84"/>
          <w:szCs w:val="84"/>
        </w:rPr>
      </w:pPr>
    </w:p>
    <w:p w:rsidR="00B81717" w:rsidRDefault="00B81717">
      <w:pPr>
        <w:rPr>
          <w:rFonts w:ascii="宋体" w:cs="宋体"/>
          <w:sz w:val="84"/>
          <w:szCs w:val="84"/>
        </w:rPr>
      </w:pPr>
    </w:p>
    <w:p w:rsidR="00B81717" w:rsidRDefault="00B81717">
      <w:pPr>
        <w:rPr>
          <w:rFonts w:ascii="宋体" w:cs="宋体"/>
          <w:sz w:val="84"/>
          <w:szCs w:val="84"/>
        </w:rPr>
      </w:pPr>
    </w:p>
    <w:p w:rsidR="00B81717" w:rsidRDefault="00FB5EE3">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B81717" w:rsidRDefault="00FB5EE3">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玉许一小</w:t>
      </w:r>
      <w:r>
        <w:rPr>
          <w:rFonts w:ascii="仿宋_GB2312" w:eastAsia="仿宋_GB2312" w:hAnsi="仿宋_GB2312" w:cs="仿宋_GB2312" w:hint="eastAsia"/>
          <w:b/>
          <w:bCs/>
          <w:sz w:val="36"/>
          <w:szCs w:val="36"/>
        </w:rPr>
        <w:t>概况</w:t>
      </w:r>
    </w:p>
    <w:p w:rsidR="00B81717" w:rsidRDefault="00FB5EE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B81717" w:rsidRDefault="00FB5EE3">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、部门职责和机构设置</w:t>
      </w:r>
    </w:p>
    <w:p w:rsidR="00B81717" w:rsidRDefault="00FB5EE3">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w:t>
      </w:r>
      <w:r>
        <w:rPr>
          <w:rFonts w:ascii="仿宋_GB2312" w:eastAsia="仿宋_GB2312" w:hAnsi="仿宋_GB2312" w:cs="仿宋_GB2312" w:hint="eastAsia"/>
          <w:b/>
          <w:sz w:val="36"/>
          <w:szCs w:val="36"/>
        </w:rPr>
        <w:t>一</w:t>
      </w:r>
      <w:r>
        <w:rPr>
          <w:rFonts w:ascii="仿宋_GB2312" w:eastAsia="仿宋_GB2312" w:hAnsi="仿宋_GB2312" w:cs="仿宋_GB2312" w:hint="eastAsia"/>
          <w:b/>
          <w:sz w:val="36"/>
          <w:szCs w:val="36"/>
        </w:rPr>
        <w:t>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玉许一小</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B81717" w:rsidRDefault="00FB5EE3">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、收入决算总表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B81717" w:rsidRDefault="00FB5EE3">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B81717" w:rsidRDefault="00FB5EE3">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玉许一小</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、收入情况说明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B81717" w:rsidRDefault="00FB5EE3">
      <w:pPr>
        <w:ind w:firstLineChars="200" w:firstLine="640"/>
        <w:jc w:val="left"/>
        <w:rPr>
          <w:rFonts w:ascii="宋体" w:cs="宋体"/>
          <w:sz w:val="44"/>
          <w:szCs w:val="44"/>
        </w:rPr>
      </w:pPr>
      <w:r>
        <w:rPr>
          <w:rFonts w:ascii="仿宋_GB2312" w:eastAsia="仿宋_GB2312" w:hint="eastAsia"/>
          <w:sz w:val="32"/>
          <w:szCs w:val="32"/>
        </w:rPr>
        <w:t>六、一般公共预算财政拨款基本支出情况说明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九、重点、重大项目信息</w:t>
      </w:r>
    </w:p>
    <w:p w:rsidR="00B81717" w:rsidRDefault="00B81717">
      <w:pPr>
        <w:ind w:firstLineChars="200" w:firstLine="640"/>
        <w:jc w:val="left"/>
        <w:rPr>
          <w:rFonts w:ascii="仿宋_GB2312" w:eastAsia="仿宋_GB2312"/>
          <w:sz w:val="32"/>
          <w:szCs w:val="32"/>
        </w:rPr>
      </w:pPr>
    </w:p>
    <w:p w:rsidR="00B81717" w:rsidRDefault="00FB5EE3">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B81717" w:rsidRDefault="00B81717">
      <w:pPr>
        <w:ind w:firstLineChars="200" w:firstLine="1680"/>
        <w:rPr>
          <w:rFonts w:ascii="宋体" w:cs="宋体"/>
          <w:sz w:val="84"/>
          <w:szCs w:val="84"/>
        </w:rPr>
      </w:pPr>
    </w:p>
    <w:p w:rsidR="00B81717" w:rsidRDefault="00B81717">
      <w:pPr>
        <w:ind w:firstLineChars="200" w:firstLine="1680"/>
        <w:rPr>
          <w:rFonts w:ascii="宋体" w:cs="宋体"/>
          <w:sz w:val="84"/>
          <w:szCs w:val="84"/>
        </w:rPr>
      </w:pPr>
    </w:p>
    <w:p w:rsidR="00B81717" w:rsidRDefault="00B81717">
      <w:pPr>
        <w:ind w:firstLineChars="200" w:firstLine="880"/>
        <w:jc w:val="center"/>
        <w:rPr>
          <w:rFonts w:ascii="宋体" w:cs="宋体"/>
          <w:sz w:val="44"/>
          <w:szCs w:val="44"/>
        </w:rPr>
      </w:pPr>
    </w:p>
    <w:p w:rsidR="00B81717" w:rsidRDefault="00B81717">
      <w:pPr>
        <w:ind w:firstLineChars="200" w:firstLine="880"/>
        <w:jc w:val="center"/>
        <w:rPr>
          <w:rFonts w:ascii="宋体" w:cs="宋体"/>
          <w:sz w:val="44"/>
          <w:szCs w:val="44"/>
        </w:rPr>
      </w:pPr>
    </w:p>
    <w:p w:rsidR="00B81717" w:rsidRDefault="00B81717">
      <w:pPr>
        <w:ind w:firstLineChars="200" w:firstLine="880"/>
        <w:jc w:val="center"/>
        <w:rPr>
          <w:rFonts w:ascii="宋体" w:cs="宋体"/>
          <w:sz w:val="44"/>
          <w:szCs w:val="44"/>
        </w:rPr>
      </w:pPr>
    </w:p>
    <w:p w:rsidR="00B81717" w:rsidRDefault="00B81717">
      <w:pPr>
        <w:ind w:firstLineChars="200" w:firstLine="880"/>
        <w:jc w:val="center"/>
        <w:rPr>
          <w:rFonts w:ascii="宋体" w:cs="宋体"/>
          <w:sz w:val="44"/>
          <w:szCs w:val="44"/>
        </w:rPr>
      </w:pPr>
    </w:p>
    <w:p w:rsidR="00B81717" w:rsidRDefault="00B81717">
      <w:pPr>
        <w:ind w:firstLineChars="200" w:firstLine="1680"/>
        <w:jc w:val="center"/>
        <w:rPr>
          <w:rFonts w:ascii="宋体" w:cs="宋体"/>
          <w:sz w:val="84"/>
          <w:szCs w:val="84"/>
        </w:rPr>
      </w:pPr>
    </w:p>
    <w:p w:rsidR="00B81717" w:rsidRDefault="00B81717">
      <w:pPr>
        <w:ind w:firstLineChars="200" w:firstLine="1680"/>
        <w:jc w:val="center"/>
        <w:rPr>
          <w:rFonts w:ascii="宋体" w:cs="宋体"/>
          <w:sz w:val="84"/>
          <w:szCs w:val="84"/>
        </w:rPr>
      </w:pPr>
    </w:p>
    <w:p w:rsidR="00B81717" w:rsidRDefault="00B81717">
      <w:pPr>
        <w:ind w:firstLineChars="200" w:firstLine="1680"/>
        <w:jc w:val="center"/>
        <w:rPr>
          <w:rFonts w:ascii="宋体" w:cs="宋体"/>
          <w:sz w:val="84"/>
          <w:szCs w:val="84"/>
        </w:rPr>
      </w:pPr>
    </w:p>
    <w:p w:rsidR="00B81717" w:rsidRDefault="00B81717">
      <w:pPr>
        <w:widowControl/>
        <w:ind w:firstLineChars="200" w:firstLine="880"/>
        <w:jc w:val="left"/>
        <w:rPr>
          <w:rFonts w:ascii="宋体" w:cs="宋体"/>
          <w:kern w:val="0"/>
          <w:sz w:val="44"/>
          <w:szCs w:val="44"/>
        </w:rPr>
      </w:pPr>
    </w:p>
    <w:p w:rsidR="00B81717" w:rsidRDefault="00B81717">
      <w:pPr>
        <w:widowControl/>
        <w:jc w:val="left"/>
        <w:rPr>
          <w:rFonts w:ascii="宋体" w:hAnsi="宋体" w:cs="宋体"/>
          <w:kern w:val="0"/>
          <w:sz w:val="32"/>
          <w:szCs w:val="32"/>
        </w:rPr>
      </w:pPr>
    </w:p>
    <w:p w:rsidR="00B81717" w:rsidRDefault="00B81717">
      <w:pPr>
        <w:widowControl/>
        <w:ind w:firstLineChars="200" w:firstLine="640"/>
        <w:jc w:val="left"/>
        <w:rPr>
          <w:rFonts w:ascii="宋体" w:hAnsi="宋体" w:cs="宋体"/>
          <w:kern w:val="0"/>
          <w:sz w:val="32"/>
          <w:szCs w:val="32"/>
        </w:rPr>
      </w:pPr>
    </w:p>
    <w:p w:rsidR="00B81717" w:rsidRDefault="00FB5EE3">
      <w:pPr>
        <w:ind w:firstLineChars="500" w:firstLine="1600"/>
        <w:rPr>
          <w:rFonts w:ascii="宋体" w:cs="宋体"/>
          <w:kern w:val="0"/>
          <w:sz w:val="44"/>
          <w:szCs w:val="44"/>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玉许一小</w:t>
      </w:r>
      <w:r>
        <w:rPr>
          <w:rFonts w:ascii="黑体" w:eastAsia="黑体" w:hAnsi="仿宋_GB2312" w:cs="仿宋_GB2312" w:hint="eastAsia"/>
          <w:bCs/>
          <w:sz w:val="32"/>
          <w:szCs w:val="32"/>
        </w:rPr>
        <w:t>概况</w:t>
      </w:r>
    </w:p>
    <w:p w:rsidR="00B81717" w:rsidRDefault="00FB5EE3" w:rsidP="00331A8D">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B81717" w:rsidRDefault="00FB5EE3">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年决算编制范围的单位包括波密县玉许一小一个部门。</w:t>
      </w:r>
    </w:p>
    <w:p w:rsidR="00B81717" w:rsidRDefault="00FB5EE3" w:rsidP="00331A8D">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B81717" w:rsidRDefault="00FB5EE3" w:rsidP="00331A8D">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B81717" w:rsidRDefault="00FB5EE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B81717" w:rsidRDefault="00FB5EE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w:t>
      </w:r>
      <w:r>
        <w:rPr>
          <w:rFonts w:ascii="仿宋" w:eastAsia="仿宋" w:hAnsi="仿宋" w:cs="仿宋" w:hint="eastAsia"/>
          <w:kern w:val="0"/>
          <w:sz w:val="32"/>
          <w:szCs w:val="32"/>
        </w:rPr>
        <w:t>动和体育传统项目运动队的训练；开展以预防为主、防治结合的卫生保健工作，做好常见病、多发病的预防和矫治。</w:t>
      </w:r>
    </w:p>
    <w:p w:rsidR="00B81717" w:rsidRDefault="00FB5EE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B81717" w:rsidRDefault="00FB5EE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B81717" w:rsidRDefault="00FB5EE3">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B81717" w:rsidRDefault="00FB5EE3" w:rsidP="00331A8D">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B81717" w:rsidRDefault="00FB5EE3">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波密县玉许一小有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B81717" w:rsidRDefault="00B81717">
      <w:pPr>
        <w:ind w:firstLineChars="200" w:firstLine="640"/>
        <w:jc w:val="left"/>
        <w:rPr>
          <w:rFonts w:ascii="仿宋" w:eastAsia="仿宋" w:hAnsi="仿宋" w:cs="仿宋"/>
          <w:sz w:val="32"/>
          <w:szCs w:val="32"/>
        </w:rPr>
      </w:pPr>
    </w:p>
    <w:p w:rsidR="00B81717" w:rsidRDefault="00FB5EE3">
      <w:pPr>
        <w:jc w:val="center"/>
        <w:rPr>
          <w:rFonts w:ascii="黑体" w:eastAsia="黑体" w:hAnsi="仿宋_GB2312" w:cs="仿宋_GB2312"/>
          <w:sz w:val="32"/>
          <w:szCs w:val="32"/>
        </w:rPr>
      </w:pPr>
      <w:r>
        <w:rPr>
          <w:rFonts w:ascii="黑体" w:eastAsia="黑体" w:hAnsi="仿宋_GB2312" w:cs="仿宋_GB2312" w:hint="eastAsia"/>
          <w:sz w:val="32"/>
          <w:szCs w:val="32"/>
        </w:rPr>
        <w:t>第</w:t>
      </w:r>
      <w:r>
        <w:rPr>
          <w:rFonts w:ascii="黑体" w:eastAsia="黑体" w:hAnsi="仿宋_GB2312" w:cs="仿宋_GB2312" w:hint="eastAsia"/>
          <w:sz w:val="32"/>
          <w:szCs w:val="32"/>
        </w:rPr>
        <w:t>二</w:t>
      </w:r>
      <w:r>
        <w:rPr>
          <w:rFonts w:ascii="黑体" w:eastAsia="黑体" w:hAnsi="仿宋_GB2312" w:cs="仿宋_GB2312" w:hint="eastAsia"/>
          <w:sz w:val="32"/>
          <w:szCs w:val="32"/>
        </w:rPr>
        <w:t>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波密县玉许一小</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B81717" w:rsidRDefault="00FB5EE3">
      <w:pPr>
        <w:jc w:val="center"/>
        <w:rPr>
          <w:rFonts w:ascii="黑体" w:eastAsia="黑体" w:hAnsi="仿宋_GB2312" w:cs="仿宋_GB2312"/>
          <w:sz w:val="84"/>
          <w:szCs w:val="84"/>
        </w:rPr>
      </w:pPr>
      <w:r>
        <w:rPr>
          <w:rFonts w:ascii="黑体" w:eastAsia="黑体" w:hAnsi="仿宋_GB2312" w:cs="仿宋_GB2312" w:hint="eastAsia"/>
          <w:sz w:val="32"/>
          <w:szCs w:val="32"/>
        </w:rPr>
        <w:t>（详见附表）</w:t>
      </w:r>
    </w:p>
    <w:p w:rsidR="00B81717" w:rsidRDefault="00B81717">
      <w:pPr>
        <w:jc w:val="center"/>
        <w:rPr>
          <w:rFonts w:ascii="黑体" w:eastAsia="黑体" w:hAnsi="仿宋_GB2312" w:cs="仿宋_GB2312"/>
          <w:sz w:val="84"/>
          <w:szCs w:val="84"/>
        </w:rPr>
      </w:pPr>
    </w:p>
    <w:p w:rsidR="00B81717" w:rsidRDefault="00FB5EE3">
      <w:pPr>
        <w:pStyle w:val="10"/>
        <w:ind w:firstLineChars="0" w:firstLine="0"/>
        <w:jc w:val="center"/>
        <w:rPr>
          <w:rFonts w:ascii="黑体" w:eastAsia="黑体" w:hAnsi="仿宋_GB2312" w:cs="仿宋_GB2312"/>
          <w:sz w:val="32"/>
          <w:szCs w:val="32"/>
        </w:rPr>
      </w:pPr>
      <w:r>
        <w:rPr>
          <w:rFonts w:ascii="黑体" w:eastAsia="黑体" w:hAnsi="仿宋_GB2312" w:cs="仿宋_GB2312" w:hint="eastAsia"/>
          <w:sz w:val="32"/>
          <w:szCs w:val="32"/>
        </w:rPr>
        <w:t>第三部分波密县玉许一小</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B81717" w:rsidRDefault="00B81717">
      <w:pPr>
        <w:pStyle w:val="10"/>
        <w:ind w:left="393" w:firstLineChars="0" w:firstLine="0"/>
        <w:rPr>
          <w:rFonts w:ascii="黑体" w:eastAsia="黑体" w:hAnsi="仿宋_GB2312" w:cs="仿宋_GB2312"/>
          <w:sz w:val="32"/>
          <w:szCs w:val="32"/>
        </w:rPr>
      </w:pP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B81717" w:rsidRDefault="00FB5EE3">
      <w:pPr>
        <w:ind w:firstLineChars="200" w:firstLine="640"/>
        <w:jc w:val="left"/>
        <w:rPr>
          <w:rFonts w:ascii="仿宋_GB2312" w:eastAsia="仿宋_GB2312"/>
          <w:sz w:val="32"/>
          <w:szCs w:val="32"/>
        </w:rPr>
      </w:pPr>
      <w:r>
        <w:rPr>
          <w:rFonts w:ascii="仿宋_GB2312" w:eastAsia="仿宋_GB2312" w:hint="eastAsia"/>
          <w:sz w:val="32"/>
          <w:szCs w:val="32"/>
        </w:rPr>
        <w:t>玉许一小</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6317348.93</w:t>
      </w:r>
      <w:r>
        <w:rPr>
          <w:rFonts w:ascii="仿宋_GB2312" w:eastAsia="仿宋_GB2312" w:hint="eastAsia"/>
          <w:sz w:val="32"/>
          <w:szCs w:val="32"/>
        </w:rPr>
        <w:t>元，支出合计</w:t>
      </w:r>
      <w:r>
        <w:rPr>
          <w:rFonts w:ascii="仿宋_GB2312" w:eastAsia="仿宋_GB2312" w:hint="eastAsia"/>
          <w:sz w:val="32"/>
          <w:szCs w:val="32"/>
        </w:rPr>
        <w:t>6317348.93</w:t>
      </w:r>
      <w:r>
        <w:rPr>
          <w:rFonts w:ascii="仿宋_GB2312" w:eastAsia="仿宋_GB2312" w:hint="eastAsia"/>
          <w:sz w:val="32"/>
          <w:szCs w:val="32"/>
        </w:rPr>
        <w:t>元。</w:t>
      </w:r>
      <w:r w:rsidR="00331A8D">
        <w:rPr>
          <w:rFonts w:ascii="仿宋_GB2312" w:eastAsia="仿宋_GB2312" w:hint="eastAsia"/>
          <w:sz w:val="32"/>
          <w:szCs w:val="32"/>
        </w:rPr>
        <w:t>该单位为本年度新增单位，故无与上一年对比数据。</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w:t>
      </w:r>
      <w:r>
        <w:rPr>
          <w:rFonts w:ascii="仿宋_GB2312" w:eastAsia="仿宋_GB2312" w:hint="eastAsia"/>
          <w:b/>
          <w:sz w:val="32"/>
          <w:szCs w:val="32"/>
        </w:rPr>
        <w:t>2017</w:t>
      </w:r>
      <w:r>
        <w:rPr>
          <w:rFonts w:ascii="仿宋_GB2312" w:eastAsia="仿宋_GB2312" w:hint="eastAsia"/>
          <w:b/>
          <w:sz w:val="32"/>
          <w:szCs w:val="32"/>
        </w:rPr>
        <w:t>年度收入情况说明</w:t>
      </w:r>
    </w:p>
    <w:p w:rsidR="00B81717" w:rsidRDefault="00FB5EE3">
      <w:pPr>
        <w:ind w:firstLineChars="150" w:firstLine="480"/>
        <w:jc w:val="left"/>
        <w:rPr>
          <w:rFonts w:ascii="仿宋_GB2312" w:eastAsia="仿宋_GB2312"/>
          <w:sz w:val="32"/>
          <w:szCs w:val="32"/>
        </w:rPr>
      </w:pPr>
      <w:r>
        <w:rPr>
          <w:rFonts w:ascii="仿宋_GB2312" w:eastAsia="仿宋_GB2312" w:hint="eastAsia"/>
          <w:sz w:val="32"/>
          <w:szCs w:val="32"/>
        </w:rPr>
        <w:t>玉许一小</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6317348.93</w:t>
      </w:r>
      <w:r>
        <w:rPr>
          <w:rFonts w:ascii="仿宋_GB2312" w:eastAsia="仿宋_GB2312" w:hint="eastAsia"/>
          <w:sz w:val="32"/>
          <w:szCs w:val="32"/>
        </w:rPr>
        <w:t>元，全部为财政拨款收入。</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B81717" w:rsidRDefault="00FB5EE3">
      <w:pPr>
        <w:ind w:firstLineChars="150" w:firstLine="480"/>
        <w:jc w:val="left"/>
        <w:rPr>
          <w:rFonts w:ascii="仿宋_GB2312" w:eastAsia="仿宋_GB2312"/>
          <w:sz w:val="32"/>
          <w:szCs w:val="32"/>
        </w:rPr>
      </w:pPr>
      <w:r>
        <w:rPr>
          <w:rFonts w:ascii="仿宋_GB2312" w:eastAsia="仿宋_GB2312" w:hint="eastAsia"/>
          <w:sz w:val="32"/>
          <w:szCs w:val="32"/>
        </w:rPr>
        <w:lastRenderedPageBreak/>
        <w:t>玉许一小</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6317348.93</w:t>
      </w:r>
      <w:r>
        <w:rPr>
          <w:rFonts w:ascii="仿宋_GB2312" w:eastAsia="仿宋_GB2312" w:hint="eastAsia"/>
          <w:sz w:val="32"/>
          <w:szCs w:val="32"/>
        </w:rPr>
        <w:t>元，按支出经济分，其中：工资福利支出</w:t>
      </w:r>
      <w:r>
        <w:rPr>
          <w:rFonts w:ascii="仿宋_GB2312" w:eastAsia="仿宋_GB2312" w:hint="eastAsia"/>
          <w:sz w:val="32"/>
          <w:szCs w:val="32"/>
        </w:rPr>
        <w:t>3720913.49</w:t>
      </w:r>
      <w:r>
        <w:rPr>
          <w:rFonts w:ascii="仿宋_GB2312" w:eastAsia="仿宋_GB2312" w:hint="eastAsia"/>
          <w:sz w:val="32"/>
          <w:szCs w:val="32"/>
        </w:rPr>
        <w:t>元，占总支出的</w:t>
      </w:r>
      <w:r>
        <w:rPr>
          <w:rFonts w:ascii="仿宋_GB2312" w:eastAsia="仿宋_GB2312" w:hint="eastAsia"/>
          <w:sz w:val="32"/>
          <w:szCs w:val="32"/>
        </w:rPr>
        <w:t>59</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322616.4</w:t>
      </w:r>
      <w:r>
        <w:rPr>
          <w:rFonts w:ascii="仿宋_GB2312" w:eastAsia="仿宋_GB2312" w:hint="eastAsia"/>
          <w:sz w:val="32"/>
          <w:szCs w:val="32"/>
        </w:rPr>
        <w:t>元，占总支出的</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2233309.04</w:t>
      </w:r>
      <w:r>
        <w:rPr>
          <w:rFonts w:ascii="仿宋_GB2312" w:eastAsia="仿宋_GB2312" w:hint="eastAsia"/>
          <w:sz w:val="32"/>
          <w:szCs w:val="32"/>
        </w:rPr>
        <w:t>元，占总支出的</w:t>
      </w: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40510</w:t>
      </w:r>
      <w:r>
        <w:rPr>
          <w:rFonts w:ascii="仿宋_GB2312" w:eastAsia="仿宋_GB2312" w:hint="eastAsia"/>
          <w:sz w:val="32"/>
          <w:szCs w:val="32"/>
        </w:rPr>
        <w:t>元，占总支出的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B81717" w:rsidRDefault="00FB5EE3">
      <w:pPr>
        <w:ind w:firstLineChars="150" w:firstLine="480"/>
        <w:jc w:val="left"/>
        <w:rPr>
          <w:rFonts w:ascii="仿宋_GB2312" w:eastAsia="仿宋_GB2312"/>
          <w:sz w:val="32"/>
          <w:szCs w:val="32"/>
        </w:rPr>
      </w:pPr>
      <w:r>
        <w:rPr>
          <w:rFonts w:ascii="仿宋_GB2312" w:eastAsia="仿宋_GB2312" w:hint="eastAsia"/>
          <w:sz w:val="32"/>
          <w:szCs w:val="32"/>
        </w:rPr>
        <w:t>玉许一小</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6317348.93</w:t>
      </w:r>
      <w:r>
        <w:rPr>
          <w:rFonts w:ascii="仿宋_GB2312" w:eastAsia="仿宋_GB2312" w:hint="eastAsia"/>
          <w:sz w:val="32"/>
          <w:szCs w:val="32"/>
        </w:rPr>
        <w:t>元，支出合计</w:t>
      </w:r>
      <w:r>
        <w:rPr>
          <w:rFonts w:ascii="仿宋_GB2312" w:eastAsia="仿宋_GB2312" w:hint="eastAsia"/>
          <w:sz w:val="32"/>
          <w:szCs w:val="32"/>
        </w:rPr>
        <w:t>6317348.93</w:t>
      </w:r>
      <w:r>
        <w:rPr>
          <w:rFonts w:ascii="仿宋_GB2312" w:eastAsia="仿宋_GB2312" w:hint="eastAsia"/>
          <w:sz w:val="32"/>
          <w:szCs w:val="32"/>
        </w:rPr>
        <w:t>元。</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B81717" w:rsidRDefault="00FB5EE3">
      <w:pPr>
        <w:ind w:firstLineChars="150" w:firstLine="480"/>
        <w:jc w:val="left"/>
        <w:rPr>
          <w:rFonts w:ascii="仿宋_GB2312" w:eastAsia="仿宋_GB2312"/>
          <w:sz w:val="32"/>
          <w:szCs w:val="32"/>
        </w:rPr>
      </w:pPr>
      <w:r>
        <w:rPr>
          <w:rFonts w:ascii="仿宋_GB2312" w:eastAsia="仿宋_GB2312" w:hint="eastAsia"/>
          <w:kern w:val="0"/>
          <w:sz w:val="32"/>
          <w:szCs w:val="32"/>
        </w:rPr>
        <w:t>玉许一小</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6317348.93</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5655901.09</w:t>
      </w:r>
      <w:r>
        <w:rPr>
          <w:rFonts w:ascii="仿宋_GB2312" w:eastAsia="仿宋_GB2312" w:hint="eastAsia"/>
          <w:sz w:val="32"/>
          <w:szCs w:val="32"/>
        </w:rPr>
        <w:t>元，占总支出的</w:t>
      </w: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661447.84</w:t>
      </w:r>
      <w:r>
        <w:rPr>
          <w:rFonts w:ascii="仿宋_GB2312" w:eastAsia="仿宋_GB2312" w:hint="eastAsia"/>
          <w:sz w:val="32"/>
          <w:szCs w:val="32"/>
        </w:rPr>
        <w:t>元，占总支出</w:t>
      </w:r>
      <w:r>
        <w:rPr>
          <w:rFonts w:ascii="仿宋_GB2312" w:eastAsia="仿宋_GB2312" w:hint="eastAsia"/>
          <w:sz w:val="32"/>
          <w:szCs w:val="32"/>
        </w:rPr>
        <w:t>10%</w:t>
      </w:r>
      <w:r>
        <w:rPr>
          <w:rFonts w:ascii="仿宋_GB2312" w:eastAsia="仿宋_GB2312" w:hint="eastAsia"/>
          <w:sz w:val="32"/>
          <w:szCs w:val="32"/>
        </w:rPr>
        <w:t>。</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B81717" w:rsidRDefault="00FB5EE3">
      <w:pPr>
        <w:jc w:val="left"/>
        <w:rPr>
          <w:rFonts w:ascii="仿宋_GB2312" w:eastAsia="仿宋_GB2312"/>
          <w:sz w:val="32"/>
          <w:szCs w:val="32"/>
        </w:rPr>
      </w:pPr>
      <w:r>
        <w:rPr>
          <w:rFonts w:ascii="仿宋_GB2312" w:eastAsia="仿宋_GB2312" w:hint="eastAsia"/>
          <w:sz w:val="32"/>
          <w:szCs w:val="32"/>
        </w:rPr>
        <w:t>玉许一小</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6317348.93</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5954222.53</w:t>
      </w:r>
      <w:r>
        <w:rPr>
          <w:rFonts w:ascii="仿宋_GB2312" w:eastAsia="仿宋_GB2312" w:hint="eastAsia"/>
          <w:sz w:val="32"/>
          <w:szCs w:val="32"/>
        </w:rPr>
        <w:t>元，占总支出的</w:t>
      </w:r>
      <w:r>
        <w:rPr>
          <w:rFonts w:ascii="仿宋_GB2312" w:eastAsia="仿宋_GB2312" w:hint="eastAsia"/>
          <w:sz w:val="32"/>
          <w:szCs w:val="32"/>
        </w:rPr>
        <w:t>94</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363126.4</w:t>
      </w:r>
      <w:r>
        <w:rPr>
          <w:rFonts w:ascii="仿宋_GB2312" w:eastAsia="仿宋_GB2312" w:hint="eastAsia"/>
          <w:sz w:val="32"/>
          <w:szCs w:val="32"/>
        </w:rPr>
        <w:t>元，占总支出的</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w:t>
      </w:r>
      <w:r>
        <w:rPr>
          <w:rFonts w:ascii="仿宋_GB2312" w:eastAsia="仿宋_GB2312" w:hint="eastAsia"/>
          <w:sz w:val="32"/>
          <w:szCs w:val="32"/>
        </w:rPr>
        <w:lastRenderedPageBreak/>
        <w:t>待费、专用材料费、福利费、公</w:t>
      </w:r>
      <w:r>
        <w:rPr>
          <w:rFonts w:ascii="仿宋_GB2312" w:eastAsia="仿宋_GB2312" w:hint="eastAsia"/>
          <w:sz w:val="32"/>
          <w:szCs w:val="32"/>
        </w:rPr>
        <w:t>车运行维护费、其他交通费、其他商品和服务支出、办公设备购置、专用设备购置等。</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B81717" w:rsidRDefault="00FB5EE3">
      <w:pPr>
        <w:ind w:firstLineChars="150" w:firstLine="480"/>
        <w:jc w:val="left"/>
        <w:rPr>
          <w:rFonts w:ascii="仿宋_GB2312" w:eastAsia="仿宋_GB2312"/>
          <w:b/>
          <w:sz w:val="32"/>
          <w:szCs w:val="32"/>
        </w:rPr>
      </w:pPr>
      <w:r>
        <w:rPr>
          <w:rFonts w:ascii="仿宋_GB2312" w:eastAsia="仿宋_GB2312" w:hint="eastAsia"/>
          <w:sz w:val="32"/>
          <w:szCs w:val="32"/>
        </w:rPr>
        <w:t>波密县玉许一小</w:t>
      </w:r>
      <w:r>
        <w:rPr>
          <w:rFonts w:ascii="仿宋_GB2312" w:eastAsia="仿宋_GB2312" w:hint="eastAsia"/>
          <w:sz w:val="32"/>
          <w:szCs w:val="32"/>
        </w:rPr>
        <w:t>2</w:t>
      </w:r>
      <w:r>
        <w:rPr>
          <w:rFonts w:ascii="仿宋_GB2312" w:eastAsia="仿宋_GB2312" w:hint="eastAsia"/>
          <w:sz w:val="32"/>
          <w:szCs w:val="32"/>
        </w:rPr>
        <w:t>017</w:t>
      </w:r>
      <w:r>
        <w:rPr>
          <w:rFonts w:ascii="仿宋_GB2312" w:eastAsia="仿宋_GB2312" w:hint="eastAsia"/>
          <w:sz w:val="32"/>
          <w:szCs w:val="32"/>
        </w:rPr>
        <w:t>年度“三公”经费决算数</w:t>
      </w:r>
      <w:r>
        <w:rPr>
          <w:rFonts w:ascii="仿宋_GB2312" w:eastAsia="仿宋_GB2312" w:hint="eastAsia"/>
          <w:sz w:val="32"/>
          <w:szCs w:val="32"/>
        </w:rPr>
        <w:t>6066</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6066</w:t>
      </w:r>
      <w:r>
        <w:rPr>
          <w:rFonts w:ascii="仿宋_GB2312" w:eastAsia="仿宋_GB2312" w:hint="eastAsia"/>
          <w:sz w:val="32"/>
          <w:szCs w:val="32"/>
        </w:rPr>
        <w:t>元，占“三公”经费的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7</w:t>
      </w:r>
      <w:r>
        <w:rPr>
          <w:rFonts w:ascii="仿宋_GB2312" w:eastAsia="仿宋_GB2312" w:hint="eastAsia"/>
          <w:sz w:val="32"/>
          <w:szCs w:val="32"/>
        </w:rPr>
        <w:t>批次，接待</w:t>
      </w:r>
      <w:r>
        <w:rPr>
          <w:rFonts w:ascii="仿宋_GB2312" w:eastAsia="仿宋_GB2312" w:hint="eastAsia"/>
          <w:sz w:val="32"/>
          <w:szCs w:val="32"/>
        </w:rPr>
        <w:t>62</w:t>
      </w:r>
      <w:r>
        <w:rPr>
          <w:rFonts w:ascii="仿宋_GB2312" w:eastAsia="仿宋_GB2312" w:hint="eastAsia"/>
          <w:sz w:val="32"/>
          <w:szCs w:val="32"/>
        </w:rPr>
        <w:t>人次。</w:t>
      </w:r>
    </w:p>
    <w:p w:rsidR="00B81717" w:rsidRDefault="00FB5EE3">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331A8D" w:rsidRDefault="00FB5EE3" w:rsidP="00331A8D">
      <w:pPr>
        <w:ind w:firstLineChars="150" w:firstLine="480"/>
        <w:jc w:val="left"/>
        <w:rPr>
          <w:rFonts w:ascii="仿宋_GB2312" w:eastAsia="仿宋_GB2312" w:hint="eastAsia"/>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玉许一小</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363126.4</w:t>
      </w:r>
      <w:r>
        <w:rPr>
          <w:rFonts w:ascii="仿宋_GB2312" w:eastAsia="仿宋_GB2312" w:hint="eastAsia"/>
          <w:sz w:val="32"/>
          <w:szCs w:val="32"/>
        </w:rPr>
        <w:t>元</w:t>
      </w:r>
      <w:r>
        <w:rPr>
          <w:rFonts w:ascii="仿宋_GB2312" w:eastAsia="仿宋_GB2312" w:hint="eastAsia"/>
          <w:sz w:val="32"/>
          <w:szCs w:val="32"/>
        </w:rPr>
        <w:t>，</w:t>
      </w:r>
      <w:bookmarkStart w:id="0" w:name="_GoBack"/>
      <w:bookmarkEnd w:id="0"/>
      <w:r w:rsidR="00331A8D">
        <w:rPr>
          <w:rFonts w:ascii="仿宋_GB2312" w:eastAsia="仿宋_GB2312" w:hint="eastAsia"/>
          <w:sz w:val="32"/>
          <w:szCs w:val="32"/>
        </w:rPr>
        <w:t>该单位为本年度新增单位，故无与上一年对比数据。</w:t>
      </w:r>
    </w:p>
    <w:p w:rsidR="00B81717" w:rsidRDefault="00FB5EE3" w:rsidP="00331A8D">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B81717" w:rsidRDefault="00FB5EE3">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玉许一小无车辆。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211.98</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48.62</w:t>
      </w:r>
      <w:r>
        <w:rPr>
          <w:rFonts w:ascii="仿宋_GB2312" w:eastAsia="仿宋_GB2312" w:hAnsi="仿宋_GB2312" w:cs="仿宋_GB2312" w:hint="eastAsia"/>
          <w:sz w:val="32"/>
          <w:szCs w:val="32"/>
        </w:rPr>
        <w:t>万元。</w:t>
      </w:r>
    </w:p>
    <w:p w:rsidR="00B81717" w:rsidRDefault="00FB5EE3">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玉许一小</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B81717" w:rsidRDefault="00FB5EE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B81717" w:rsidRDefault="00FB5EE3">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B81717" w:rsidRDefault="00FB5EE3">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玉许一小</w:t>
      </w:r>
      <w:r>
        <w:rPr>
          <w:rFonts w:ascii="仿宋_GB2312" w:eastAsia="仿宋_GB2312" w:hint="eastAsia"/>
          <w:sz w:val="32"/>
          <w:szCs w:val="32"/>
        </w:rPr>
        <w:t>无重大项目</w:t>
      </w:r>
    </w:p>
    <w:p w:rsidR="00B81717" w:rsidRDefault="00B81717">
      <w:pPr>
        <w:jc w:val="left"/>
        <w:rPr>
          <w:rFonts w:ascii="宋体" w:cs="宋体"/>
          <w:sz w:val="32"/>
          <w:szCs w:val="32"/>
        </w:rPr>
      </w:pPr>
    </w:p>
    <w:p w:rsidR="00B81717" w:rsidRDefault="00B81717">
      <w:pPr>
        <w:jc w:val="left"/>
        <w:rPr>
          <w:rFonts w:ascii="宋体" w:cs="宋体"/>
          <w:sz w:val="32"/>
          <w:szCs w:val="32"/>
        </w:rPr>
      </w:pPr>
    </w:p>
    <w:p w:rsidR="00B81717" w:rsidRDefault="00B81717">
      <w:pPr>
        <w:rPr>
          <w:rFonts w:ascii="宋体" w:hAnsi="宋体" w:cs="宋体"/>
          <w:b/>
          <w:bCs/>
          <w:sz w:val="84"/>
          <w:szCs w:val="84"/>
        </w:rPr>
      </w:pPr>
    </w:p>
    <w:p w:rsidR="00B81717" w:rsidRDefault="00FB5EE3">
      <w:pPr>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B81717" w:rsidRDefault="00FB5EE3">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B81717" w:rsidRDefault="00FB5EE3" w:rsidP="00331A8D">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B81717" w:rsidRDefault="00FB5EE3" w:rsidP="00331A8D">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B81717" w:rsidRDefault="00FB5EE3" w:rsidP="00331A8D">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w:t>
      </w:r>
      <w:r>
        <w:rPr>
          <w:rFonts w:ascii="仿宋" w:eastAsia="仿宋" w:hAnsi="仿宋" w:cs="仿宋" w:hint="eastAsia"/>
          <w:sz w:val="32"/>
          <w:szCs w:val="32"/>
        </w:rPr>
        <w:lastRenderedPageBreak/>
        <w:t>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B81717" w:rsidRDefault="00B81717">
      <w:pPr>
        <w:jc w:val="left"/>
        <w:rPr>
          <w:rFonts w:ascii="宋体" w:cs="宋体"/>
          <w:sz w:val="32"/>
          <w:szCs w:val="32"/>
        </w:rPr>
      </w:pPr>
    </w:p>
    <w:p w:rsidR="00B81717" w:rsidRDefault="00B81717">
      <w:pPr>
        <w:jc w:val="left"/>
        <w:rPr>
          <w:rFonts w:ascii="宋体" w:cs="宋体"/>
          <w:sz w:val="32"/>
          <w:szCs w:val="32"/>
        </w:rPr>
      </w:pPr>
    </w:p>
    <w:sectPr w:rsidR="00B81717" w:rsidSect="00B81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E3" w:rsidRDefault="00FB5EE3" w:rsidP="00331A8D">
      <w:r>
        <w:separator/>
      </w:r>
    </w:p>
  </w:endnote>
  <w:endnote w:type="continuationSeparator" w:id="1">
    <w:p w:rsidR="00FB5EE3" w:rsidRDefault="00FB5EE3" w:rsidP="00331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E3" w:rsidRDefault="00FB5EE3" w:rsidP="00331A8D">
      <w:r>
        <w:separator/>
      </w:r>
    </w:p>
  </w:footnote>
  <w:footnote w:type="continuationSeparator" w:id="1">
    <w:p w:rsidR="00FB5EE3" w:rsidRDefault="00FB5EE3" w:rsidP="00331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120F0"/>
    <w:rsid w:val="001C6A8F"/>
    <w:rsid w:val="001D185A"/>
    <w:rsid w:val="00286B90"/>
    <w:rsid w:val="002C7AB0"/>
    <w:rsid w:val="002F4575"/>
    <w:rsid w:val="00331015"/>
    <w:rsid w:val="00331A8D"/>
    <w:rsid w:val="0034423A"/>
    <w:rsid w:val="003520B3"/>
    <w:rsid w:val="003D5730"/>
    <w:rsid w:val="00405D51"/>
    <w:rsid w:val="004B65DA"/>
    <w:rsid w:val="00526525"/>
    <w:rsid w:val="00556E7A"/>
    <w:rsid w:val="00561E01"/>
    <w:rsid w:val="005C08CD"/>
    <w:rsid w:val="005C0D05"/>
    <w:rsid w:val="00673CFD"/>
    <w:rsid w:val="006F2D97"/>
    <w:rsid w:val="007F1BDF"/>
    <w:rsid w:val="00841C2E"/>
    <w:rsid w:val="008E320D"/>
    <w:rsid w:val="00992A84"/>
    <w:rsid w:val="00993109"/>
    <w:rsid w:val="00A60DCE"/>
    <w:rsid w:val="00AB2068"/>
    <w:rsid w:val="00AB42AE"/>
    <w:rsid w:val="00AD27C6"/>
    <w:rsid w:val="00B07E5B"/>
    <w:rsid w:val="00B81717"/>
    <w:rsid w:val="00BB4D23"/>
    <w:rsid w:val="00C41E7D"/>
    <w:rsid w:val="00D51BE3"/>
    <w:rsid w:val="00DA0336"/>
    <w:rsid w:val="00DB7BE7"/>
    <w:rsid w:val="00DD7402"/>
    <w:rsid w:val="00FB5EE3"/>
    <w:rsid w:val="00FC59FF"/>
    <w:rsid w:val="00FE6750"/>
    <w:rsid w:val="04627A14"/>
    <w:rsid w:val="06F165AE"/>
    <w:rsid w:val="078A1347"/>
    <w:rsid w:val="0A3F0701"/>
    <w:rsid w:val="0B7746DD"/>
    <w:rsid w:val="0D3A3C83"/>
    <w:rsid w:val="0EB33ED5"/>
    <w:rsid w:val="0F9A7666"/>
    <w:rsid w:val="11793544"/>
    <w:rsid w:val="13D06CA1"/>
    <w:rsid w:val="13FB37A7"/>
    <w:rsid w:val="167A3E0B"/>
    <w:rsid w:val="180F68A5"/>
    <w:rsid w:val="1AD25D48"/>
    <w:rsid w:val="1CD44B42"/>
    <w:rsid w:val="1E7C7E1A"/>
    <w:rsid w:val="1F6839E0"/>
    <w:rsid w:val="1F6E5281"/>
    <w:rsid w:val="21044836"/>
    <w:rsid w:val="216472E6"/>
    <w:rsid w:val="23F21472"/>
    <w:rsid w:val="26B8654C"/>
    <w:rsid w:val="26D25797"/>
    <w:rsid w:val="2BF542E6"/>
    <w:rsid w:val="33BA157A"/>
    <w:rsid w:val="377A0F43"/>
    <w:rsid w:val="398C08D4"/>
    <w:rsid w:val="39CD52F3"/>
    <w:rsid w:val="3B415C19"/>
    <w:rsid w:val="3B4B5999"/>
    <w:rsid w:val="3E950EBE"/>
    <w:rsid w:val="3EF46A74"/>
    <w:rsid w:val="3FE97B5B"/>
    <w:rsid w:val="40B57E4F"/>
    <w:rsid w:val="43295AF7"/>
    <w:rsid w:val="4A524604"/>
    <w:rsid w:val="4ACF27CD"/>
    <w:rsid w:val="4CDE4EB5"/>
    <w:rsid w:val="4E1606B3"/>
    <w:rsid w:val="4F170983"/>
    <w:rsid w:val="51255EF3"/>
    <w:rsid w:val="51E415AD"/>
    <w:rsid w:val="51EF3F78"/>
    <w:rsid w:val="533E71EE"/>
    <w:rsid w:val="58F122F0"/>
    <w:rsid w:val="5D071236"/>
    <w:rsid w:val="5E6A53D3"/>
    <w:rsid w:val="5FD6275E"/>
    <w:rsid w:val="5FF20A8B"/>
    <w:rsid w:val="607C0C6F"/>
    <w:rsid w:val="66E828F9"/>
    <w:rsid w:val="673645FC"/>
    <w:rsid w:val="69B1192F"/>
    <w:rsid w:val="6A423838"/>
    <w:rsid w:val="6DDC5C19"/>
    <w:rsid w:val="6EF00608"/>
    <w:rsid w:val="71A93A87"/>
    <w:rsid w:val="7A5E01EF"/>
    <w:rsid w:val="7D6A4366"/>
    <w:rsid w:val="7D8C350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locked="0" w:semiHidden="0" w:unhideWhenUsed="0" w:qFormat="1"/>
    <w:lsdException w:name="HTML Top of Form" w:locked="0"/>
    <w:lsdException w:name="HTML Bottom of Form" w:locked="0"/>
    <w:lsdException w:name="HTML Acronym" w:locked="0" w:semiHidden="0" w:unhideWhenUsed="0" w:qFormat="1"/>
    <w:lsdException w:name="HTML Cite" w:locked="0" w:semiHidden="0" w:unhideWhenUsed="0" w:qFormat="1"/>
    <w:lsdException w:name="HTML Code" w:locked="0" w:semiHidden="0" w:unhideWhenUsed="0" w:qFormat="1"/>
    <w:lsdException w:name="HTML Definition" w:locked="0" w:semiHidden="0" w:unhideWhenUsed="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81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81717"/>
    <w:pPr>
      <w:tabs>
        <w:tab w:val="center" w:pos="4153"/>
        <w:tab w:val="right" w:pos="8306"/>
      </w:tabs>
      <w:snapToGrid w:val="0"/>
      <w:jc w:val="left"/>
    </w:pPr>
    <w:rPr>
      <w:sz w:val="18"/>
      <w:szCs w:val="18"/>
    </w:rPr>
  </w:style>
  <w:style w:type="paragraph" w:styleId="a4">
    <w:name w:val="header"/>
    <w:basedOn w:val="a"/>
    <w:link w:val="Char0"/>
    <w:uiPriority w:val="99"/>
    <w:qFormat/>
    <w:rsid w:val="00B81717"/>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B81717"/>
    <w:rPr>
      <w:rFonts w:cs="Times New Roman"/>
      <w:color w:val="0063C8"/>
      <w:u w:val="none"/>
    </w:rPr>
  </w:style>
  <w:style w:type="character" w:styleId="a6">
    <w:name w:val="Emphasis"/>
    <w:basedOn w:val="a0"/>
    <w:uiPriority w:val="99"/>
    <w:qFormat/>
    <w:rsid w:val="00B81717"/>
    <w:rPr>
      <w:rFonts w:cs="Times New Roman"/>
    </w:rPr>
  </w:style>
  <w:style w:type="character" w:styleId="HTML">
    <w:name w:val="HTML Definition"/>
    <w:basedOn w:val="a0"/>
    <w:uiPriority w:val="99"/>
    <w:qFormat/>
    <w:rsid w:val="00B81717"/>
    <w:rPr>
      <w:rFonts w:cs="Times New Roman"/>
    </w:rPr>
  </w:style>
  <w:style w:type="character" w:styleId="HTML0">
    <w:name w:val="HTML Acronym"/>
    <w:basedOn w:val="a0"/>
    <w:uiPriority w:val="99"/>
    <w:qFormat/>
    <w:rsid w:val="00B81717"/>
    <w:rPr>
      <w:rFonts w:cs="Times New Roman"/>
    </w:rPr>
  </w:style>
  <w:style w:type="character" w:styleId="HTML1">
    <w:name w:val="HTML Variable"/>
    <w:basedOn w:val="a0"/>
    <w:uiPriority w:val="99"/>
    <w:qFormat/>
    <w:rsid w:val="00B81717"/>
    <w:rPr>
      <w:rFonts w:cs="Times New Roman"/>
    </w:rPr>
  </w:style>
  <w:style w:type="character" w:styleId="a7">
    <w:name w:val="Hyperlink"/>
    <w:basedOn w:val="a0"/>
    <w:uiPriority w:val="99"/>
    <w:qFormat/>
    <w:rsid w:val="00B81717"/>
    <w:rPr>
      <w:rFonts w:cs="Times New Roman"/>
      <w:color w:val="0063C8"/>
      <w:u w:val="none"/>
    </w:rPr>
  </w:style>
  <w:style w:type="character" w:styleId="HTML2">
    <w:name w:val="HTML Code"/>
    <w:basedOn w:val="a0"/>
    <w:uiPriority w:val="99"/>
    <w:qFormat/>
    <w:rsid w:val="00B81717"/>
    <w:rPr>
      <w:rFonts w:ascii="Courier New" w:hAnsi="Courier New" w:cs="Times New Roman"/>
      <w:sz w:val="20"/>
    </w:rPr>
  </w:style>
  <w:style w:type="character" w:styleId="HTML3">
    <w:name w:val="HTML Cite"/>
    <w:basedOn w:val="a0"/>
    <w:uiPriority w:val="99"/>
    <w:qFormat/>
    <w:rsid w:val="00B81717"/>
    <w:rPr>
      <w:rFonts w:cs="Times New Roman"/>
    </w:rPr>
  </w:style>
  <w:style w:type="character" w:customStyle="1" w:styleId="Char">
    <w:name w:val="页脚 Char"/>
    <w:basedOn w:val="a0"/>
    <w:link w:val="a3"/>
    <w:uiPriority w:val="99"/>
    <w:qFormat/>
    <w:locked/>
    <w:rsid w:val="00B81717"/>
    <w:rPr>
      <w:rFonts w:ascii="Calibri" w:eastAsia="宋体" w:hAnsi="Calibri" w:cs="Times New Roman"/>
      <w:kern w:val="2"/>
      <w:sz w:val="18"/>
      <w:szCs w:val="18"/>
    </w:rPr>
  </w:style>
  <w:style w:type="character" w:customStyle="1" w:styleId="Char0">
    <w:name w:val="页眉 Char"/>
    <w:basedOn w:val="a0"/>
    <w:link w:val="a4"/>
    <w:uiPriority w:val="99"/>
    <w:qFormat/>
    <w:locked/>
    <w:rsid w:val="00B81717"/>
    <w:rPr>
      <w:rFonts w:ascii="Calibri" w:eastAsia="宋体" w:hAnsi="Calibri" w:cs="Times New Roman"/>
      <w:kern w:val="2"/>
      <w:sz w:val="18"/>
      <w:szCs w:val="18"/>
    </w:rPr>
  </w:style>
  <w:style w:type="paragraph" w:customStyle="1" w:styleId="1">
    <w:name w:val="列出段落1"/>
    <w:basedOn w:val="a"/>
    <w:uiPriority w:val="99"/>
    <w:qFormat/>
    <w:rsid w:val="00B81717"/>
    <w:pPr>
      <w:ind w:firstLineChars="200" w:firstLine="420"/>
    </w:pPr>
  </w:style>
  <w:style w:type="character" w:customStyle="1" w:styleId="hover36">
    <w:name w:val="hover36"/>
    <w:basedOn w:val="a0"/>
    <w:uiPriority w:val="99"/>
    <w:qFormat/>
    <w:rsid w:val="00B81717"/>
    <w:rPr>
      <w:rFonts w:cs="Times New Roman"/>
      <w:color w:val="3EAF0E"/>
    </w:rPr>
  </w:style>
  <w:style w:type="character" w:customStyle="1" w:styleId="btn-task-gray2">
    <w:name w:val="btn-task-gray2"/>
    <w:basedOn w:val="a0"/>
    <w:uiPriority w:val="99"/>
    <w:qFormat/>
    <w:rsid w:val="00B81717"/>
    <w:rPr>
      <w:rFonts w:cs="Times New Roman"/>
      <w:color w:val="FFFFFF"/>
      <w:u w:val="none"/>
      <w:shd w:val="clear" w:color="auto" w:fill="CCCCCC"/>
    </w:rPr>
  </w:style>
  <w:style w:type="paragraph" w:customStyle="1" w:styleId="10">
    <w:name w:val="列出段落1"/>
    <w:basedOn w:val="a"/>
    <w:qFormat/>
    <w:rsid w:val="00B8171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2329</Characters>
  <Application>Microsoft Office Word</Application>
  <DocSecurity>0</DocSecurity>
  <Lines>19</Lines>
  <Paragraphs>5</Paragraphs>
  <ScaleCrop>false</ScaleCrop>
  <Company>番茄花园</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12</cp:revision>
  <dcterms:created xsi:type="dcterms:W3CDTF">2014-10-29T12:08:00Z</dcterms:created>
  <dcterms:modified xsi:type="dcterms:W3CDTF">2019-04-02T13:20:00Z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