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jc w:val="center"/>
        <w:rPr>
          <w:rFonts w:hint="eastAsia"/>
          <w:sz w:val="44"/>
          <w:szCs w:val="44"/>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林芝市发展和改革委员会</w:t>
      </w:r>
    </w:p>
    <w:p>
      <w:pPr>
        <w:spacing w:line="640" w:lineRule="exact"/>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20</w:t>
      </w:r>
      <w:r>
        <w:rPr>
          <w:rFonts w:hint="eastAsia" w:ascii="方正小标宋简体" w:hAnsi="方正小标宋简体" w:eastAsia="方正小标宋简体" w:cs="方正小标宋简体"/>
          <w:b w:val="0"/>
          <w:bCs/>
          <w:sz w:val="52"/>
          <w:szCs w:val="52"/>
          <w:lang w:val="en-US" w:eastAsia="zh-CN"/>
        </w:rPr>
        <w:t>21</w:t>
      </w:r>
      <w:r>
        <w:rPr>
          <w:rFonts w:hint="eastAsia" w:ascii="方正小标宋简体" w:hAnsi="方正小标宋简体" w:eastAsia="方正小标宋简体" w:cs="方正小标宋简体"/>
          <w:b w:val="0"/>
          <w:bCs/>
          <w:sz w:val="52"/>
          <w:szCs w:val="52"/>
        </w:rPr>
        <w:t>年度部门预算</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 xml:space="preserve"> 年 </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 月 </w:t>
      </w:r>
      <w:r>
        <w:rPr>
          <w:rFonts w:hint="eastAsia" w:ascii="仿宋_GB2312" w:hAnsi="仿宋_GB2312" w:eastAsia="仿宋_GB2312" w:cs="仿宋_GB2312"/>
          <w:sz w:val="32"/>
          <w:szCs w:val="32"/>
          <w:u w:val="none"/>
          <w:lang w:val="en-US" w:eastAsia="zh-CN"/>
        </w:rPr>
        <w:t>31</w:t>
      </w:r>
      <w:r>
        <w:rPr>
          <w:rFonts w:hint="eastAsia" w:ascii="仿宋_GB2312" w:hAnsi="仿宋_GB2312" w:eastAsia="仿宋_GB2312" w:cs="仿宋_GB2312"/>
          <w:sz w:val="32"/>
          <w:szCs w:val="32"/>
          <w:u w:val="none"/>
        </w:rPr>
        <w:t>日</w:t>
      </w:r>
    </w:p>
    <w:p>
      <w:pPr>
        <w:rPr>
          <w:rFonts w:hint="eastAsia"/>
          <w:sz w:val="44"/>
          <w:szCs w:val="44"/>
        </w:rPr>
      </w:pPr>
    </w:p>
    <w:p>
      <w:pPr>
        <w:spacing w:line="460" w:lineRule="exact"/>
        <w:jc w:val="center"/>
        <w:rPr>
          <w:rFonts w:hint="eastAsia" w:ascii="宋体" w:hAnsi="宋体"/>
          <w:b/>
          <w:sz w:val="40"/>
          <w:szCs w:val="40"/>
        </w:rPr>
      </w:pPr>
    </w:p>
    <w:p>
      <w:pPr>
        <w:spacing w:line="460" w:lineRule="exact"/>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  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第二部分 </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年度部门预算明细表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年度部门预算数据分析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黑体" w:hAnsi="宋体" w:eastAsia="黑体"/>
          <w:sz w:val="44"/>
          <w:szCs w:val="44"/>
        </w:rPr>
      </w:pPr>
      <w:r>
        <w:rPr>
          <w:rFonts w:hint="eastAsia" w:ascii="黑体" w:hAnsi="宋体" w:eastAsia="黑体"/>
          <w:sz w:val="44"/>
          <w:szCs w:val="44"/>
        </w:rPr>
        <w:t>第一部分 林芝市发展和改革委员会概况</w:t>
      </w:r>
    </w:p>
    <w:p>
      <w:pPr>
        <w:spacing w:line="460" w:lineRule="exact"/>
        <w:jc w:val="center"/>
        <w:rPr>
          <w:rFonts w:hint="eastAsia" w:ascii="黑体" w:hAnsi="宋体" w:eastAsia="黑体"/>
          <w:sz w:val="48"/>
          <w:szCs w:val="48"/>
        </w:rPr>
      </w:pPr>
    </w:p>
    <w:p>
      <w:pPr>
        <w:ind w:firstLine="640" w:firstLineChars="200"/>
        <w:rPr>
          <w:rFonts w:hint="eastAsia" w:ascii="黑体" w:hAnsi="宋体" w:eastAsia="黑体"/>
          <w:b w:val="0"/>
          <w:bCs/>
          <w:sz w:val="32"/>
          <w:szCs w:val="32"/>
        </w:rPr>
      </w:pPr>
      <w:r>
        <w:rPr>
          <w:rFonts w:hint="eastAsia" w:ascii="黑体" w:hAnsi="宋体" w:eastAsia="黑体"/>
          <w:b w:val="0"/>
          <w:bCs/>
          <w:sz w:val="32"/>
          <w:szCs w:val="32"/>
        </w:rPr>
        <w:t>一、部门预算</w:t>
      </w:r>
      <w:r>
        <w:rPr>
          <w:rFonts w:ascii="黑体" w:hAnsi="宋体" w:eastAsia="黑体"/>
          <w:b w:val="0"/>
          <w:bCs/>
          <w:sz w:val="32"/>
          <w:szCs w:val="32"/>
        </w:rPr>
        <w:t>单位构成</w:t>
      </w:r>
    </w:p>
    <w:p>
      <w:pPr>
        <w:ind w:firstLine="627" w:firstLineChars="196"/>
        <w:rPr>
          <w:rFonts w:hint="eastAsia"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t>二级预算部门。</w:t>
      </w:r>
    </w:p>
    <w:p>
      <w:pPr>
        <w:ind w:firstLine="627" w:firstLineChars="196"/>
        <w:rPr>
          <w:rFonts w:hint="eastAsia" w:ascii="黑体" w:hAnsi="宋体" w:eastAsia="黑体"/>
          <w:b w:val="0"/>
          <w:bCs/>
          <w:sz w:val="32"/>
          <w:szCs w:val="32"/>
        </w:rPr>
      </w:pPr>
      <w:r>
        <w:rPr>
          <w:rFonts w:hint="eastAsia" w:ascii="黑体" w:hAnsi="宋体" w:eastAsia="黑体"/>
          <w:b w:val="0"/>
          <w:bCs/>
          <w:sz w:val="32"/>
          <w:szCs w:val="32"/>
        </w:rPr>
        <w:t>二、部门</w:t>
      </w:r>
      <w:r>
        <w:rPr>
          <w:rFonts w:ascii="黑体" w:hAnsi="宋体" w:eastAsia="黑体"/>
          <w:b w:val="0"/>
          <w:bCs/>
          <w:sz w:val="32"/>
          <w:szCs w:val="32"/>
        </w:rPr>
        <w:t>职责和</w:t>
      </w:r>
      <w:r>
        <w:rPr>
          <w:rFonts w:hint="eastAsia" w:ascii="黑体" w:hAnsi="宋体" w:eastAsia="黑体"/>
          <w:b w:val="0"/>
          <w:bCs/>
          <w:sz w:val="32"/>
          <w:szCs w:val="32"/>
        </w:rPr>
        <w:t>机构设置</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（一）部门职责</w:t>
      </w:r>
    </w:p>
    <w:p>
      <w:pPr>
        <w:ind w:firstLine="640" w:firstLineChars="200"/>
        <w:rPr>
          <w:rFonts w:hint="eastAsia" w:ascii="仿宋_GB2312" w:eastAsia="仿宋_GB2312"/>
          <w:sz w:val="32"/>
          <w:szCs w:val="32"/>
        </w:rPr>
      </w:pPr>
      <w:r>
        <w:rPr>
          <w:rFonts w:hint="eastAsia" w:ascii="仿宋_GB2312" w:eastAsia="仿宋_GB2312"/>
          <w:sz w:val="32"/>
          <w:szCs w:val="32"/>
        </w:rPr>
        <w:t>1.贯彻执行自治区发展和改革战略规划，拟订并组织实施市国民经济和社会发展战略、中长期规划和年度计划；研究分析市内外经济形势，提出市国民经济发展和优化重大经济结构的目标、政策，提出综合运用法律、经济、行政等手段的政策建议；受市人民政府委托向市人大提交国民经济和社会发展计划的报告。</w:t>
      </w:r>
    </w:p>
    <w:p>
      <w:pPr>
        <w:ind w:firstLine="640" w:firstLineChars="200"/>
        <w:rPr>
          <w:rFonts w:hint="eastAsia" w:ascii="仿宋_GB2312" w:eastAsia="仿宋_GB2312"/>
          <w:sz w:val="32"/>
          <w:szCs w:val="32"/>
        </w:rPr>
      </w:pPr>
      <w:r>
        <w:rPr>
          <w:rFonts w:hint="eastAsia" w:ascii="仿宋_GB2312" w:eastAsia="仿宋_GB2312"/>
          <w:sz w:val="32"/>
          <w:szCs w:val="32"/>
        </w:rPr>
        <w:t>2.负责监测宏观经济和社会发展态势，承担预测和信息引导责任；负责研究宏观经济运行、总量平衡、结构优化、经济安全和产业安全等，协调解决经济运行中的重大问题，调节经济运行；负责组织重要物资的紧急调度和交通运输协调。</w:t>
      </w:r>
    </w:p>
    <w:p>
      <w:pPr>
        <w:ind w:firstLine="640" w:firstLineChars="200"/>
        <w:rPr>
          <w:rFonts w:hint="eastAsia" w:ascii="仿宋_GB2312" w:eastAsia="仿宋_GB2312"/>
          <w:sz w:val="32"/>
          <w:szCs w:val="32"/>
        </w:rPr>
      </w:pPr>
      <w:r>
        <w:rPr>
          <w:rFonts w:hint="eastAsia" w:ascii="仿宋_GB2312" w:eastAsia="仿宋_GB2312"/>
          <w:sz w:val="32"/>
          <w:szCs w:val="32"/>
        </w:rPr>
        <w:t>3.负责汇总分析财政、金融等方面的情况，参与制定市财政政策、土地政策，拟订并组织实施价格政策；综合分析财政、金融、土地政策执行效果，监督检查价格政策的执行；负责组织制定和调整由市管理的重要商品价格和服务价格标准，依法查处价格违法行为等。</w:t>
      </w:r>
    </w:p>
    <w:p>
      <w:pPr>
        <w:ind w:firstLine="640" w:firstLineChars="200"/>
        <w:rPr>
          <w:rFonts w:hint="eastAsia" w:ascii="仿宋_GB2312" w:eastAsia="仿宋_GB2312"/>
          <w:sz w:val="32"/>
          <w:szCs w:val="32"/>
        </w:rPr>
      </w:pPr>
      <w:r>
        <w:rPr>
          <w:rFonts w:hint="eastAsia" w:ascii="仿宋_GB2312" w:eastAsia="仿宋_GB2312"/>
          <w:sz w:val="32"/>
          <w:szCs w:val="32"/>
        </w:rPr>
        <w:t>4.研究经济体制改革和对外开放的重大问题，承担指导推进和综合协调经济体制改革的责任，组织拟订综合性经济体制改革方案，协调有关专项经济体制改革方案，会同有关部门做好重要专项经济体制改革之间的衔接，指导经济体制改革试点工作。</w:t>
      </w:r>
    </w:p>
    <w:p>
      <w:pPr>
        <w:ind w:firstLine="640" w:firstLineChars="200"/>
        <w:rPr>
          <w:rFonts w:hint="eastAsia" w:ascii="仿宋_GB2312" w:eastAsia="仿宋_GB2312"/>
          <w:sz w:val="32"/>
          <w:szCs w:val="32"/>
        </w:rPr>
      </w:pPr>
      <w:r>
        <w:rPr>
          <w:rFonts w:hint="eastAsia" w:ascii="仿宋_GB2312" w:eastAsia="仿宋_GB2312"/>
          <w:sz w:val="32"/>
          <w:szCs w:val="32"/>
        </w:rPr>
        <w:t>5.承担规划重大项目和生产力布局的责任，拟订全市固定资产投资总规模和投资结构的调控目标、政策和建议；向国家、自治区申请和安排市级财政性建设资金，指导和监督贷款建设资金的总量使用情况，指导和监督政策性贷款的使用方向；按规定权限审批、核准重大建设项目、重大外资项目、重大社会投资项目等；引导民间资金投资方向，研究提出利用外资和境外投资的战略、总量平衡和结构优化的目标；安排国家、自治区和市财政性拨款的建设项目、重大外资项目、境外资源开发类和大额用汇投资项目；负责协调衔接对口援藏项目规划和年度计划衔接。</w:t>
      </w:r>
    </w:p>
    <w:p>
      <w:pPr>
        <w:ind w:firstLine="640" w:firstLineChars="200"/>
        <w:rPr>
          <w:rFonts w:hint="eastAsia" w:ascii="仿宋_GB2312" w:eastAsia="仿宋_GB2312"/>
          <w:sz w:val="32"/>
          <w:szCs w:val="32"/>
        </w:rPr>
      </w:pPr>
      <w:r>
        <w:rPr>
          <w:rFonts w:hint="eastAsia" w:ascii="仿宋_GB2312" w:eastAsia="仿宋_GB2312"/>
          <w:sz w:val="32"/>
          <w:szCs w:val="32"/>
        </w:rPr>
        <w:t>6.研究提出经济结构战略性调整建议；组织拟订综合性产业政策，协调第一、二、三产业问题并衔接平衡相关问题，做好与国民经济和社会发展规划、计划的衔接平衡；协调农牧业和农牧区经济社会发展问题；会同有关部门拟订市服务业发展战略。</w:t>
      </w:r>
    </w:p>
    <w:p>
      <w:pPr>
        <w:ind w:firstLine="640" w:firstLineChars="200"/>
        <w:rPr>
          <w:rFonts w:hint="eastAsia" w:ascii="仿宋_GB2312" w:eastAsia="仿宋_GB2312"/>
          <w:sz w:val="32"/>
          <w:szCs w:val="32"/>
        </w:rPr>
      </w:pPr>
      <w:r>
        <w:rPr>
          <w:rFonts w:hint="eastAsia" w:ascii="仿宋_GB2312" w:eastAsia="仿宋_GB2312"/>
          <w:sz w:val="32"/>
          <w:szCs w:val="32"/>
        </w:rPr>
        <w:t>7.协调实施和监测、评估西藏自治区主体功能区规划；组织协调相关部门实施区域协调发展和实施西部大开发战略规划和政策措施；提出城镇化发展政策和建议，促进区域经济协调发展。</w:t>
      </w:r>
    </w:p>
    <w:p>
      <w:pPr>
        <w:ind w:firstLine="640" w:firstLineChars="200"/>
        <w:rPr>
          <w:rFonts w:hint="eastAsia" w:ascii="仿宋_GB2312" w:eastAsia="仿宋_GB2312"/>
          <w:sz w:val="32"/>
          <w:szCs w:val="32"/>
        </w:rPr>
      </w:pPr>
      <w:r>
        <w:rPr>
          <w:rFonts w:hint="eastAsia" w:ascii="仿宋_GB2312" w:eastAsia="仿宋_GB2312"/>
          <w:sz w:val="32"/>
          <w:szCs w:val="32"/>
        </w:rPr>
        <w:t>8.承担重要商品总量平衡和调控责任，编制重要农畜产品、工业品和原材料进出口计划并监督执行，根据经济运行情况对进出口总量计划进行调整，拟订本市重要战略物质储备，负责组织战略物资的收储、动用、轮换和管理，会同有关部门管理粮食、食糖等储备。</w:t>
      </w:r>
    </w:p>
    <w:p>
      <w:pPr>
        <w:ind w:firstLine="640" w:firstLineChars="200"/>
        <w:rPr>
          <w:rFonts w:hint="eastAsia" w:ascii="仿宋_GB2312" w:eastAsia="仿宋_GB2312"/>
          <w:sz w:val="32"/>
          <w:szCs w:val="32"/>
        </w:rPr>
      </w:pPr>
      <w:r>
        <w:rPr>
          <w:rFonts w:hint="eastAsia" w:ascii="仿宋_GB2312" w:eastAsia="仿宋_GB2312"/>
          <w:sz w:val="32"/>
          <w:szCs w:val="32"/>
        </w:rPr>
        <w:t>9.负责全市国民经济发展和社会发展的政策衔接，统筹协调经济社会发展；组织拟订社会发展战略、总体规划和年度计划，参与拟订人口和嘉华生育、科学技术、教育、文化、卫生、民政等发展政策，提出促进就业、调整收入分配、完善社会保障与经济协调发展的政策建议，协调社会事业发展和改革中的重大问题及政策。</w:t>
      </w:r>
    </w:p>
    <w:p>
      <w:pPr>
        <w:ind w:firstLine="640" w:firstLineChars="200"/>
        <w:rPr>
          <w:rFonts w:hint="eastAsia" w:ascii="仿宋_GB2312" w:eastAsia="仿宋_GB2312"/>
          <w:sz w:val="32"/>
          <w:szCs w:val="32"/>
        </w:rPr>
      </w:pPr>
      <w:r>
        <w:rPr>
          <w:rFonts w:hint="eastAsia" w:ascii="仿宋_GB2312" w:eastAsia="仿宋_GB2312"/>
          <w:sz w:val="32"/>
          <w:szCs w:val="32"/>
        </w:rPr>
        <w:t>10.拟订可持续发展战略，负责节能减排的综合协调工作，组织拟订发展循环经济、能源资源节约和综合利用规划及政策措施并协调实施；参与编制生态建设、环境保护等规划；协调生态建设、能源资源节约和综合利用问题，协调环保产业和清洁生产促进相关工作；组织拟订全市应对气候变化规划和政策，负责相关工作。</w:t>
      </w:r>
    </w:p>
    <w:p>
      <w:pPr>
        <w:ind w:firstLine="640" w:firstLineChars="200"/>
        <w:rPr>
          <w:rFonts w:hint="eastAsia" w:ascii="仿宋_GB2312" w:eastAsia="仿宋_GB2312"/>
          <w:sz w:val="32"/>
          <w:szCs w:val="32"/>
        </w:rPr>
      </w:pPr>
      <w:r>
        <w:rPr>
          <w:rFonts w:hint="eastAsia" w:ascii="仿宋_GB2312" w:eastAsia="仿宋_GB2312"/>
          <w:sz w:val="32"/>
          <w:szCs w:val="32"/>
        </w:rPr>
        <w:t>11.负责能源的行业管理；按照权限提出能源发展政策；拟订并组织实施能源发展规划、产业政策，衔接能源生产和供需平衡，协调能源发展和改革问题；指导、协调农村能源发展工作；负责能源行业节能和资源综合利用，指导能源科技进步；承担全市能源预测预警工作。</w:t>
      </w:r>
    </w:p>
    <w:p>
      <w:pPr>
        <w:ind w:firstLine="640" w:firstLineChars="200"/>
        <w:rPr>
          <w:rFonts w:hint="eastAsia" w:ascii="仿宋_GB2312" w:eastAsia="仿宋_GB2312"/>
          <w:sz w:val="32"/>
          <w:szCs w:val="32"/>
        </w:rPr>
      </w:pPr>
      <w:r>
        <w:rPr>
          <w:rFonts w:hint="eastAsia" w:ascii="仿宋_GB2312" w:eastAsia="仿宋_GB2312"/>
          <w:sz w:val="32"/>
          <w:szCs w:val="32"/>
        </w:rPr>
        <w:t>12.起草全市国民经济和社会发展、经济体制改革和对外开放的有关法规草案和规章草案。</w:t>
      </w:r>
    </w:p>
    <w:p>
      <w:pPr>
        <w:ind w:firstLine="640" w:firstLineChars="200"/>
        <w:rPr>
          <w:rFonts w:hint="eastAsia" w:ascii="仿宋_GB2312" w:eastAsia="仿宋_GB2312"/>
          <w:sz w:val="32"/>
          <w:szCs w:val="32"/>
        </w:rPr>
      </w:pPr>
      <w:r>
        <w:rPr>
          <w:rFonts w:hint="eastAsia" w:ascii="仿宋_GB2312" w:eastAsia="仿宋_GB2312"/>
          <w:sz w:val="32"/>
          <w:szCs w:val="32"/>
        </w:rPr>
        <w:t>13.承办市人民政府交办的其他事项。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（二）部门机构设置及人员编制情况</w:t>
      </w:r>
    </w:p>
    <w:p>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1.市发改委下设1</w:t>
      </w:r>
      <w:r>
        <w:rPr>
          <w:rFonts w:hint="eastAsia" w:ascii="仿宋_GB2312" w:eastAsia="仿宋_GB2312"/>
          <w:sz w:val="32"/>
          <w:szCs w:val="32"/>
          <w:lang w:val="en-US" w:eastAsia="zh-CN"/>
        </w:rPr>
        <w:t>6</w:t>
      </w:r>
      <w:r>
        <w:rPr>
          <w:rFonts w:hint="eastAsia" w:ascii="仿宋_GB2312" w:eastAsia="仿宋_GB2312"/>
          <w:sz w:val="32"/>
          <w:szCs w:val="32"/>
        </w:rPr>
        <w:t>个科室：办公室、政工人事科、</w:t>
      </w:r>
      <w:r>
        <w:rPr>
          <w:rFonts w:hint="eastAsia" w:ascii="仿宋_GB2312" w:eastAsia="仿宋_GB2312"/>
          <w:sz w:val="32"/>
          <w:szCs w:val="32"/>
          <w:lang w:eastAsia="zh-CN"/>
        </w:rPr>
        <w:t>发展战略和规划科</w:t>
      </w:r>
      <w:r>
        <w:rPr>
          <w:rFonts w:hint="eastAsia" w:ascii="仿宋_GB2312" w:eastAsia="仿宋_GB2312"/>
          <w:sz w:val="32"/>
          <w:szCs w:val="32"/>
        </w:rPr>
        <w:t>、国民经济综合科、固定资产投资科、</w:t>
      </w:r>
      <w:r>
        <w:rPr>
          <w:rFonts w:hint="eastAsia" w:ascii="仿宋_GB2312" w:eastAsia="仿宋_GB2312"/>
          <w:sz w:val="32"/>
          <w:szCs w:val="32"/>
          <w:lang w:eastAsia="zh-CN"/>
        </w:rPr>
        <w:t>基础设施和产业发展科</w:t>
      </w:r>
      <w:r>
        <w:rPr>
          <w:rFonts w:hint="eastAsia" w:ascii="仿宋_GB2312" w:eastAsia="仿宋_GB2312"/>
          <w:sz w:val="32"/>
          <w:szCs w:val="32"/>
        </w:rPr>
        <w:t>、</w:t>
      </w:r>
      <w:r>
        <w:rPr>
          <w:rFonts w:hint="eastAsia" w:ascii="仿宋_GB2312" w:eastAsia="仿宋_GB2312"/>
          <w:sz w:val="32"/>
          <w:szCs w:val="32"/>
          <w:lang w:eastAsia="zh-CN"/>
        </w:rPr>
        <w:t>社会发展和就业收入分配科、</w:t>
      </w:r>
      <w:r>
        <w:rPr>
          <w:rFonts w:hint="eastAsia" w:ascii="仿宋_GB2312" w:eastAsia="仿宋_GB2312"/>
          <w:sz w:val="32"/>
          <w:szCs w:val="32"/>
        </w:rPr>
        <w:t>农村经济科、</w:t>
      </w:r>
      <w:r>
        <w:rPr>
          <w:rFonts w:hint="eastAsia" w:ascii="仿宋_GB2312" w:eastAsia="仿宋_GB2312"/>
          <w:sz w:val="32"/>
          <w:szCs w:val="32"/>
          <w:lang w:eastAsia="zh-CN"/>
        </w:rPr>
        <w:t>价格科</w:t>
      </w:r>
      <w:r>
        <w:rPr>
          <w:rFonts w:hint="eastAsia" w:ascii="仿宋_GB2312" w:eastAsia="仿宋_GB2312"/>
          <w:sz w:val="32"/>
          <w:szCs w:val="32"/>
        </w:rPr>
        <w:t>、</w:t>
      </w:r>
      <w:r>
        <w:rPr>
          <w:rFonts w:hint="eastAsia" w:ascii="仿宋_GB2312" w:eastAsia="仿宋_GB2312"/>
          <w:sz w:val="32"/>
          <w:szCs w:val="32"/>
          <w:lang w:eastAsia="zh-CN"/>
        </w:rPr>
        <w:t>经济贸易和消费科、拉林铁路和民航建设协调科、能源办、地区经济振兴科、粮食物资政策和应急保障科、粮食和物资储备科、招商引资科。</w:t>
      </w:r>
    </w:p>
    <w:p>
      <w:pPr>
        <w:ind w:firstLine="803" w:firstLineChars="251"/>
        <w:rPr>
          <w:rFonts w:hint="eastAsia" w:ascii="仿宋_GB2312" w:eastAsia="仿宋_GB2312"/>
          <w:sz w:val="32"/>
          <w:szCs w:val="32"/>
        </w:rPr>
      </w:pPr>
      <w:r>
        <w:rPr>
          <w:rFonts w:hint="eastAsia" w:ascii="仿宋_GB2312" w:eastAsia="仿宋_GB2312"/>
          <w:sz w:val="32"/>
          <w:szCs w:val="32"/>
        </w:rPr>
        <w:t>2.人员编制情况</w:t>
      </w:r>
    </w:p>
    <w:p>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人员编制数</w:t>
      </w:r>
      <w:r>
        <w:rPr>
          <w:rFonts w:hint="eastAsia" w:ascii="仿宋_GB2312" w:eastAsia="仿宋_GB2312"/>
          <w:sz w:val="32"/>
          <w:szCs w:val="32"/>
          <w:lang w:val="en-US" w:eastAsia="zh-CN"/>
        </w:rPr>
        <w:t>57</w:t>
      </w:r>
      <w:r>
        <w:rPr>
          <w:rFonts w:hint="eastAsia" w:ascii="仿宋_GB2312" w:eastAsia="仿宋_GB2312"/>
          <w:sz w:val="32"/>
          <w:szCs w:val="32"/>
          <w:lang w:eastAsia="zh-CN"/>
        </w:rPr>
        <w:t>名，其中：行政编制2</w:t>
      </w:r>
      <w:r>
        <w:rPr>
          <w:rFonts w:hint="eastAsia" w:ascii="仿宋_GB2312" w:eastAsia="仿宋_GB2312"/>
          <w:sz w:val="32"/>
          <w:szCs w:val="32"/>
          <w:lang w:val="en-US" w:eastAsia="zh-CN"/>
        </w:rPr>
        <w:t>9</w:t>
      </w:r>
      <w:r>
        <w:rPr>
          <w:rFonts w:hint="eastAsia" w:ascii="仿宋_GB2312" w:eastAsia="仿宋_GB2312"/>
          <w:sz w:val="32"/>
          <w:szCs w:val="32"/>
          <w:lang w:eastAsia="zh-CN"/>
        </w:rPr>
        <w:t>名，事业编制</w:t>
      </w:r>
      <w:r>
        <w:rPr>
          <w:rFonts w:hint="eastAsia" w:ascii="仿宋_GB2312" w:eastAsia="仿宋_GB2312"/>
          <w:sz w:val="32"/>
          <w:szCs w:val="32"/>
          <w:lang w:val="en-US" w:eastAsia="zh-CN"/>
        </w:rPr>
        <w:t>10</w:t>
      </w:r>
      <w:r>
        <w:rPr>
          <w:rFonts w:hint="eastAsia" w:ascii="仿宋_GB2312" w:eastAsia="仿宋_GB2312"/>
          <w:sz w:val="32"/>
          <w:szCs w:val="32"/>
          <w:lang w:eastAsia="zh-CN"/>
        </w:rPr>
        <w:t>名，参公编制</w:t>
      </w:r>
      <w:r>
        <w:rPr>
          <w:rFonts w:hint="eastAsia" w:ascii="仿宋_GB2312" w:eastAsia="仿宋_GB2312"/>
          <w:sz w:val="32"/>
          <w:szCs w:val="32"/>
          <w:lang w:val="en-US" w:eastAsia="zh-CN"/>
        </w:rPr>
        <w:t>18名，</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lang w:eastAsia="zh-CN"/>
        </w:rPr>
        <w:t>年末实有人数6</w:t>
      </w:r>
      <w:r>
        <w:rPr>
          <w:rFonts w:hint="eastAsia" w:ascii="仿宋_GB2312" w:eastAsia="仿宋_GB2312"/>
          <w:sz w:val="32"/>
          <w:szCs w:val="32"/>
          <w:lang w:val="en-US" w:eastAsia="zh-CN"/>
        </w:rPr>
        <w:t>2</w:t>
      </w:r>
      <w:r>
        <w:rPr>
          <w:rFonts w:hint="eastAsia" w:ascii="仿宋_GB2312" w:eastAsia="仿宋_GB2312"/>
          <w:sz w:val="32"/>
          <w:szCs w:val="32"/>
          <w:lang w:eastAsia="zh-CN"/>
        </w:rPr>
        <w:t>人。</w:t>
      </w:r>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bookmarkStart w:id="0" w:name="_GoBack"/>
      <w:bookmarkEnd w:id="0"/>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p>
    <w:p>
      <w:pPr>
        <w:ind w:firstLine="803" w:firstLineChars="251"/>
        <w:rPr>
          <w:rFonts w:hint="eastAsia" w:ascii="仿宋_GB2312" w:eastAsia="仿宋_GB2312"/>
          <w:color w:val="FF0000"/>
          <w:sz w:val="32"/>
          <w:szCs w:val="32"/>
          <w:highlight w:val="none"/>
        </w:rPr>
      </w:pPr>
    </w:p>
    <w:p>
      <w:pPr>
        <w:spacing w:line="460" w:lineRule="exact"/>
        <w:jc w:val="center"/>
        <w:rPr>
          <w:rFonts w:hint="eastAsia" w:ascii="黑体" w:hAnsi="宋体" w:eastAsia="黑体"/>
          <w:sz w:val="44"/>
          <w:szCs w:val="44"/>
          <w:lang w:val="en-US" w:eastAsia="zh-CN"/>
        </w:rPr>
      </w:pPr>
      <w:r>
        <w:rPr>
          <w:rFonts w:hint="eastAsia" w:ascii="黑体" w:hAnsi="宋体" w:eastAsia="黑体"/>
          <w:sz w:val="44"/>
          <w:szCs w:val="44"/>
        </w:rPr>
        <w:t>第二部分</w:t>
      </w:r>
      <w:r>
        <w:rPr>
          <w:rFonts w:hint="eastAsia" w:ascii="黑体" w:hAnsi="宋体" w:eastAsia="黑体"/>
          <w:sz w:val="44"/>
          <w:szCs w:val="44"/>
          <w:lang w:val="en-US" w:eastAsia="zh-CN"/>
        </w:rPr>
        <w:t xml:space="preserve">   </w:t>
      </w:r>
      <w:r>
        <w:rPr>
          <w:rFonts w:hint="eastAsia" w:ascii="黑体" w:hAnsi="宋体" w:eastAsia="黑体"/>
          <w:sz w:val="44"/>
          <w:szCs w:val="44"/>
        </w:rPr>
        <w:t>林芝市发展和改革委员</w:t>
      </w:r>
      <w:r>
        <w:rPr>
          <w:rFonts w:hint="eastAsia" w:ascii="黑体" w:hAnsi="宋体" w:eastAsia="黑体"/>
          <w:sz w:val="44"/>
          <w:szCs w:val="44"/>
          <w:lang w:val="en-US" w:eastAsia="zh-CN"/>
        </w:rPr>
        <w:t>会</w:t>
      </w:r>
    </w:p>
    <w:p>
      <w:pPr>
        <w:spacing w:line="460" w:lineRule="exact"/>
        <w:jc w:val="both"/>
        <w:rPr>
          <w:rFonts w:hint="eastAsia" w:ascii="黑体" w:hAnsi="宋体" w:eastAsia="黑体"/>
          <w:i/>
          <w:sz w:val="44"/>
          <w:szCs w:val="44"/>
        </w:rPr>
      </w:pPr>
      <w:r>
        <w:rPr>
          <w:rFonts w:hint="eastAsia" w:ascii="黑体" w:hAnsi="宋体" w:eastAsia="黑体"/>
          <w:i/>
          <w:sz w:val="44"/>
          <w:szCs w:val="44"/>
        </w:rPr>
        <w:t xml:space="preserve">   </w:t>
      </w:r>
      <w:r>
        <w:rPr>
          <w:rFonts w:hint="eastAsia" w:ascii="黑体" w:hAnsi="宋体" w:eastAsia="黑体"/>
          <w:i/>
          <w:sz w:val="44"/>
          <w:szCs w:val="44"/>
          <w:lang w:val="en-US" w:eastAsia="zh-CN"/>
        </w:rPr>
        <w:t xml:space="preserve">     </w:t>
      </w:r>
      <w:r>
        <w:rPr>
          <w:rFonts w:hint="eastAsia" w:ascii="黑体" w:hAnsi="宋体" w:eastAsia="黑体"/>
          <w:i/>
          <w:sz w:val="44"/>
          <w:szCs w:val="44"/>
        </w:rPr>
        <w:t xml:space="preserve"> </w:t>
      </w:r>
    </w:p>
    <w:p>
      <w:pPr>
        <w:spacing w:line="460" w:lineRule="exact"/>
        <w:jc w:val="center"/>
        <w:rPr>
          <w:rFonts w:hint="eastAsia" w:ascii="黑体" w:hAnsi="宋体" w:eastAsia="黑体"/>
          <w:sz w:val="44"/>
          <w:szCs w:val="44"/>
        </w:rPr>
      </w:pPr>
      <w:r>
        <w:rPr>
          <w:rFonts w:hint="eastAsia" w:ascii="黑体" w:hAnsi="宋体" w:eastAsia="黑体"/>
          <w:sz w:val="44"/>
          <w:szCs w:val="44"/>
        </w:rPr>
        <w:t>20</w:t>
      </w:r>
      <w:r>
        <w:rPr>
          <w:rFonts w:hint="eastAsia" w:ascii="黑体" w:hAnsi="宋体" w:eastAsia="黑体"/>
          <w:sz w:val="44"/>
          <w:szCs w:val="44"/>
          <w:lang w:val="en-US" w:eastAsia="zh-CN"/>
        </w:rPr>
        <w:t>21</w:t>
      </w:r>
      <w:r>
        <w:rPr>
          <w:rFonts w:hint="eastAsia" w:ascii="黑体" w:hAnsi="宋体" w:eastAsia="黑体"/>
          <w:sz w:val="44"/>
          <w:szCs w:val="44"/>
        </w:rPr>
        <w:t>年度预算明细表</w:t>
      </w:r>
    </w:p>
    <w:p>
      <w:pPr>
        <w:spacing w:before="156" w:beforeLines="50" w:after="156" w:afterLines="50"/>
        <w:jc w:val="center"/>
        <w:rPr>
          <w:rFonts w:hint="eastAsia" w:ascii="黑体" w:eastAsia="黑体"/>
          <w:sz w:val="32"/>
          <w:szCs w:val="32"/>
        </w:rPr>
      </w:pPr>
      <w:r>
        <w:rPr>
          <w:rFonts w:hint="eastAsia" w:ascii="黑体" w:eastAsia="黑体"/>
          <w:sz w:val="32"/>
          <w:szCs w:val="32"/>
        </w:rPr>
        <w:t>（表格详见附件）</w:t>
      </w:r>
    </w:p>
    <w:p>
      <w:pPr>
        <w:spacing w:before="156" w:beforeLines="50" w:after="156" w:afterLines="50"/>
        <w:jc w:val="center"/>
        <w:rPr>
          <w:rFonts w:hint="eastAsia" w:ascii="黑体" w:eastAsia="黑体"/>
          <w:sz w:val="32"/>
          <w:szCs w:val="32"/>
          <w:lang w:val="en-US" w:eastAsia="zh-CN"/>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ind w:firstLine="420" w:firstLineChars="0"/>
        <w:jc w:val="both"/>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jc w:val="center"/>
        <w:rPr>
          <w:rFonts w:hint="eastAsia" w:ascii="黑体" w:eastAsia="黑体"/>
          <w:sz w:val="32"/>
          <w:szCs w:val="32"/>
        </w:rPr>
      </w:pPr>
    </w:p>
    <w:p>
      <w:pPr>
        <w:spacing w:before="156" w:beforeLines="50" w:after="156" w:afterLines="50"/>
        <w:jc w:val="center"/>
        <w:rPr>
          <w:rFonts w:hint="eastAsia" w:ascii="黑体" w:eastAsia="黑体"/>
          <w:sz w:val="32"/>
          <w:szCs w:val="32"/>
        </w:rPr>
      </w:pPr>
    </w:p>
    <w:p>
      <w:pP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hAnsi="宋体" w:eastAsia="黑体"/>
          <w:sz w:val="44"/>
          <w:szCs w:val="44"/>
        </w:rPr>
      </w:pPr>
      <w:r>
        <w:rPr>
          <w:rFonts w:hint="eastAsia" w:ascii="黑体" w:hAnsi="宋体" w:eastAsia="黑体"/>
          <w:sz w:val="44"/>
          <w:szCs w:val="44"/>
        </w:rPr>
        <w:t>第三部分</w:t>
      </w:r>
      <w:r>
        <w:rPr>
          <w:rFonts w:hint="eastAsia" w:ascii="黑体" w:hAnsi="宋体" w:eastAsia="黑体"/>
          <w:sz w:val="44"/>
          <w:szCs w:val="44"/>
          <w:lang w:val="en-US" w:eastAsia="zh-CN"/>
        </w:rPr>
        <w:t xml:space="preserve"> </w:t>
      </w:r>
      <w:r>
        <w:rPr>
          <w:rFonts w:hint="eastAsia" w:ascii="黑体" w:hAnsi="宋体" w:eastAsia="黑体"/>
          <w:sz w:val="44"/>
          <w:szCs w:val="44"/>
        </w:rPr>
        <w:t>林芝市发展和改革委员会</w:t>
      </w:r>
    </w:p>
    <w:p>
      <w:pPr>
        <w:spacing w:before="312" w:beforeLines="100" w:after="312" w:afterLines="100" w:line="460" w:lineRule="exact"/>
        <w:jc w:val="center"/>
        <w:rPr>
          <w:rFonts w:hint="eastAsia" w:ascii="黑体" w:hAnsi="宋体" w:eastAsia="黑体"/>
          <w:sz w:val="44"/>
          <w:szCs w:val="44"/>
        </w:rPr>
      </w:pPr>
      <w:r>
        <w:rPr>
          <w:rFonts w:hint="eastAsia" w:ascii="黑体" w:hAnsi="宋体" w:eastAsia="黑体"/>
          <w:i/>
          <w:sz w:val="44"/>
          <w:szCs w:val="44"/>
        </w:rPr>
        <w:t xml:space="preserve">   </w:t>
      </w:r>
      <w:r>
        <w:rPr>
          <w:rFonts w:ascii="黑体" w:hAnsi="宋体" w:eastAsia="黑体"/>
          <w:sz w:val="44"/>
          <w:szCs w:val="44"/>
        </w:rPr>
        <w:t>20</w:t>
      </w:r>
      <w:r>
        <w:rPr>
          <w:rFonts w:hint="eastAsia" w:ascii="黑体" w:hAnsi="宋体" w:eastAsia="黑体"/>
          <w:sz w:val="44"/>
          <w:szCs w:val="44"/>
          <w:lang w:val="en-US" w:eastAsia="zh-CN"/>
        </w:rPr>
        <w:t>21</w:t>
      </w:r>
      <w:r>
        <w:rPr>
          <w:rFonts w:hint="eastAsia" w:ascii="黑体" w:hAnsi="宋体" w:eastAsia="黑体"/>
          <w:sz w:val="44"/>
          <w:szCs w:val="44"/>
        </w:rPr>
        <w:t>年度部门预算数据分析</w:t>
      </w:r>
    </w:p>
    <w:p>
      <w:pPr>
        <w:ind w:firstLine="480" w:firstLineChars="150"/>
        <w:rPr>
          <w:rFonts w:hint="eastAsia" w:ascii="黑体" w:hAnsi="宋体" w:eastAsia="黑体"/>
          <w:sz w:val="32"/>
          <w:szCs w:val="32"/>
        </w:rPr>
      </w:pPr>
      <w:r>
        <w:rPr>
          <w:rFonts w:hint="eastAsia" w:ascii="黑体" w:hAnsi="宋体" w:eastAsia="黑体"/>
          <w:sz w:val="32"/>
          <w:szCs w:val="32"/>
        </w:rPr>
        <w:t>一、</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年度财政拨款收支预算情况总体说明</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根据《中华人民共和国预算法》有关规定，按照部门预算改革和政府收支分类改革的总体要求，本着实事求是，科学准确，统筹兼顾的原则，制定了林芝市发改委（粮食局）20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年度预算。20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年预算财政拨款收入</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万元，财政拨款支出</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w:t>
      </w:r>
    </w:p>
    <w:p>
      <w:pPr>
        <w:spacing w:line="560" w:lineRule="exact"/>
        <w:ind w:firstLine="627" w:firstLineChars="196"/>
        <w:rPr>
          <w:rFonts w:hint="eastAsia" w:ascii="黑体" w:hAnsi="宋体" w:eastAsia="黑体"/>
          <w:sz w:val="32"/>
          <w:szCs w:val="32"/>
        </w:rPr>
      </w:pPr>
      <w:r>
        <w:rPr>
          <w:rFonts w:hint="eastAsia" w:ascii="黑体" w:hAnsi="宋体" w:eastAsia="黑体"/>
          <w:sz w:val="32"/>
          <w:szCs w:val="32"/>
        </w:rPr>
        <w:t>二、</w:t>
      </w:r>
      <w:r>
        <w:rPr>
          <w:rFonts w:ascii="黑体" w:hAnsi="宋体" w:eastAsia="黑体"/>
          <w:sz w:val="32"/>
          <w:szCs w:val="32"/>
        </w:rPr>
        <w:t>20</w:t>
      </w:r>
      <w:r>
        <w:rPr>
          <w:rFonts w:hint="eastAsia" w:ascii="黑体" w:hAnsi="宋体" w:eastAsia="黑体"/>
          <w:sz w:val="32"/>
          <w:szCs w:val="32"/>
          <w:lang w:val="en-US" w:eastAsia="zh-CN"/>
        </w:rPr>
        <w:t>20</w:t>
      </w:r>
      <w:r>
        <w:rPr>
          <w:rFonts w:hint="eastAsia" w:ascii="黑体" w:hAnsi="宋体" w:eastAsia="黑体"/>
          <w:sz w:val="32"/>
          <w:szCs w:val="32"/>
        </w:rPr>
        <w:t>年度一般公共预算当年财政拨款情况说明。</w:t>
      </w:r>
    </w:p>
    <w:p>
      <w:pPr>
        <w:spacing w:line="560" w:lineRule="exact"/>
        <w:ind w:firstLine="627" w:firstLineChars="19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（一）一般公共预算当年财政拨款规模变化情况，与上年预算数同口径比较。</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val="en-US" w:eastAsia="zh-CN"/>
        </w:rPr>
        <w:t>1910.79</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年增长</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，主要原因是基本支出</w:t>
      </w:r>
      <w:r>
        <w:rPr>
          <w:rFonts w:hint="eastAsia" w:ascii="仿宋_GB2312" w:hAnsi="仿宋_GB2312" w:eastAsia="仿宋_GB2312" w:cs="仿宋_GB2312"/>
          <w:sz w:val="32"/>
          <w:szCs w:val="32"/>
          <w:lang w:val="en-US" w:eastAsia="zh-CN"/>
        </w:rPr>
        <w:t>和项目工作经费都有所</w:t>
      </w:r>
      <w:r>
        <w:rPr>
          <w:rFonts w:hint="eastAsia" w:ascii="仿宋_GB2312" w:hAnsi="仿宋_GB2312" w:eastAsia="仿宋_GB2312" w:cs="仿宋_GB2312"/>
          <w:sz w:val="32"/>
          <w:szCs w:val="32"/>
          <w:lang w:eastAsia="zh-CN"/>
        </w:rPr>
        <w:t>增加。</w:t>
      </w:r>
    </w:p>
    <w:p>
      <w:pPr>
        <w:spacing w:line="560" w:lineRule="exact"/>
        <w:ind w:firstLine="627" w:firstLineChars="19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（二）一般公共预算当年财政拨款结构情况，分大类说明金额及占比</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年一般公共预算财政拨款</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万元，其中：一般公共预算基本支出</w:t>
      </w:r>
      <w:r>
        <w:rPr>
          <w:rFonts w:hint="eastAsia" w:ascii="仿宋_GB2312" w:hAnsi="仿宋_GB2312" w:eastAsia="仿宋_GB2312" w:cs="仿宋_GB2312"/>
          <w:sz w:val="32"/>
          <w:szCs w:val="32"/>
          <w:lang w:val="en-US" w:eastAsia="zh-CN"/>
        </w:rPr>
        <w:t>1686.37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315.72</w:t>
      </w:r>
      <w:r>
        <w:rPr>
          <w:rFonts w:hint="eastAsia" w:ascii="仿宋_GB2312" w:hAnsi="仿宋_GB2312" w:eastAsia="仿宋_GB2312" w:cs="仿宋_GB2312"/>
          <w:sz w:val="32"/>
          <w:szCs w:val="32"/>
        </w:rPr>
        <w:t>万元。</w:t>
      </w:r>
    </w:p>
    <w:p>
      <w:pPr>
        <w:spacing w:line="560" w:lineRule="exact"/>
        <w:ind w:firstLine="627" w:firstLineChars="196"/>
        <w:rPr>
          <w:rFonts w:hint="eastAsia" w:ascii="仿宋_GB2312" w:hAnsi="宋体" w:eastAsia="仿宋_GB2312" w:cs="宋体"/>
          <w:sz w:val="32"/>
          <w:szCs w:val="32"/>
        </w:rPr>
      </w:pPr>
      <w:r>
        <w:rPr>
          <w:rFonts w:hint="eastAsia" w:ascii="楷体_GB2312" w:hAnsi="楷体_GB2312" w:eastAsia="楷体_GB2312" w:cs="楷体_GB2312"/>
          <w:sz w:val="32"/>
          <w:szCs w:val="32"/>
        </w:rPr>
        <w:t>（三）一般公共预算当年财政拨款具体使用情况</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1.一般公共服务（类）发展与改革（款）行政运行（项）1301.5万元。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2.一般公共服务（类）发展与改革（款）机关服务（项）21万元。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3.一般公共服务（类）发展与改革（款）发展规划与实施（项）150万元。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4.一般公共服务（类）发展与改革（款）其他发展与改革事物支出（项）70万元。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5.社会保障和就业支出（类）财政对基本养老保险的补助（款）财政对其他基本养老保险基金的补助（项）155.01万元。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6.社会保障和就业支出（类）财政对其他社会保险基金的补助（款）财政对工伤保险基金的补助（项）0.98万元。  </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7.社会保障和就业支出（类）财政对其他社会保险基金的补助（款）财政对失业保险基金的补助（项）0.72万元。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8.医疗卫生与计划生育支出（类）财政对基本医疗保险基金的补助（款）财政对城镇职工基本医疗保险基金的补助（项）100.77万元。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9.住房保障支出（类）住房改革支出（款）住房公积金（项）127.39万元。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10.粮油物资储备支出（类）粮油事务（款）粮食专项业务活动（项）7万元。</w:t>
      </w:r>
    </w:p>
    <w:p>
      <w:pPr>
        <w:spacing w:line="560" w:lineRule="exact"/>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11.粮油物资储备支出（类）粮油事务（款）其他粮油事务支出（项）39.72万元。</w:t>
      </w:r>
    </w:p>
    <w:p>
      <w:pPr>
        <w:spacing w:line="560" w:lineRule="exact"/>
        <w:ind w:firstLine="627" w:firstLineChars="19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12.物价管理支出（类）价格监测评审支出28万元。</w:t>
      </w:r>
    </w:p>
    <w:p>
      <w:pPr>
        <w:ind w:firstLine="640"/>
        <w:rPr>
          <w:rFonts w:hint="eastAsia"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val="en-US" w:eastAsia="zh-CN"/>
        </w:rPr>
        <w:t>2021</w:t>
      </w:r>
      <w:r>
        <w:rPr>
          <w:rFonts w:hint="eastAsia" w:ascii="黑体" w:hAnsi="宋体" w:eastAsia="黑体"/>
          <w:sz w:val="32"/>
          <w:szCs w:val="32"/>
        </w:rPr>
        <w:t>年度一般公共预算基本支出情况说明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1686.37</w:t>
      </w:r>
      <w:r>
        <w:rPr>
          <w:rFonts w:hint="eastAsia" w:ascii="仿宋_GB2312" w:hAnsi="仿宋_GB2312" w:eastAsia="仿宋_GB2312" w:cs="仿宋_GB2312"/>
          <w:sz w:val="32"/>
          <w:szCs w:val="32"/>
        </w:rPr>
        <w:t>万元，其中：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1.工资福利支出</w:t>
      </w:r>
      <w:r>
        <w:rPr>
          <w:rFonts w:hint="eastAsia" w:ascii="仿宋_GB2312" w:hAnsi="仿宋_GB2312" w:eastAsia="仿宋_GB2312" w:cs="仿宋_GB2312"/>
          <w:sz w:val="32"/>
          <w:szCs w:val="32"/>
          <w:lang w:val="en-US" w:eastAsia="zh-CN"/>
        </w:rPr>
        <w:t>1487.25</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2.商品和服务支出</w:t>
      </w:r>
      <w:r>
        <w:rPr>
          <w:rFonts w:hint="eastAsia" w:ascii="仿宋_GB2312" w:hAnsi="仿宋_GB2312" w:eastAsia="仿宋_GB2312" w:cs="仿宋_GB2312"/>
          <w:sz w:val="32"/>
          <w:szCs w:val="32"/>
          <w:lang w:val="en-US" w:eastAsia="zh-CN"/>
        </w:rPr>
        <w:t>156.78</w:t>
      </w:r>
      <w:r>
        <w:rPr>
          <w:rFonts w:hint="eastAsia" w:ascii="仿宋_GB2312" w:hAnsi="仿宋_GB2312" w:eastAsia="仿宋_GB2312" w:cs="仿宋_GB2312"/>
          <w:sz w:val="32"/>
          <w:szCs w:val="32"/>
        </w:rPr>
        <w:t>万元，包括办公费</w:t>
      </w:r>
      <w:r>
        <w:rPr>
          <w:rFonts w:hint="eastAsia" w:ascii="仿宋_GB2312" w:hAnsi="仿宋_GB2312" w:eastAsia="仿宋_GB2312" w:cs="仿宋_GB2312"/>
          <w:sz w:val="32"/>
          <w:szCs w:val="32"/>
          <w:lang w:val="en-US" w:eastAsia="zh-CN"/>
        </w:rPr>
        <w:t>2.78</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5.77</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7.44</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58.66</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11.84</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43.28</w:t>
      </w:r>
      <w:r>
        <w:rPr>
          <w:rFonts w:hint="eastAsia" w:ascii="仿宋_GB2312" w:hAnsi="仿宋_GB2312" w:eastAsia="仿宋_GB2312" w:cs="仿宋_GB2312"/>
          <w:sz w:val="32"/>
          <w:szCs w:val="32"/>
        </w:rPr>
        <w:t>万元，其他商品和服务支出</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3.对个人和家庭补助支出</w:t>
      </w:r>
      <w:r>
        <w:rPr>
          <w:rFonts w:hint="eastAsia" w:ascii="仿宋_GB2312" w:hAnsi="仿宋_GB2312" w:eastAsia="仿宋_GB2312" w:cs="仿宋_GB2312"/>
          <w:sz w:val="32"/>
          <w:szCs w:val="32"/>
          <w:lang w:val="en-US" w:eastAsia="zh-CN"/>
        </w:rPr>
        <w:t>42.34</w:t>
      </w:r>
      <w:r>
        <w:rPr>
          <w:rFonts w:hint="eastAsia" w:ascii="仿宋_GB2312" w:hAnsi="仿宋_GB2312" w:eastAsia="仿宋_GB2312" w:cs="仿宋_GB2312"/>
          <w:sz w:val="32"/>
          <w:szCs w:val="32"/>
        </w:rPr>
        <w:t>万元。</w:t>
      </w:r>
    </w:p>
    <w:p>
      <w:pPr>
        <w:spacing w:line="560" w:lineRule="exact"/>
        <w:ind w:firstLine="627" w:firstLineChars="196"/>
        <w:rPr>
          <w:rFonts w:hint="eastAsia" w:ascii="黑体" w:hAnsi="宋体" w:eastAsia="黑体"/>
          <w:sz w:val="32"/>
          <w:szCs w:val="32"/>
        </w:rPr>
      </w:pPr>
      <w:r>
        <w:rPr>
          <w:rFonts w:hint="eastAsia" w:ascii="黑体" w:hAnsi="宋体" w:eastAsia="黑体"/>
          <w:sz w:val="32"/>
          <w:szCs w:val="32"/>
        </w:rPr>
        <w:t>四、</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年度一</w:t>
      </w:r>
      <w:r>
        <w:rPr>
          <w:rFonts w:ascii="黑体" w:hAnsi="宋体" w:eastAsia="黑体"/>
          <w:sz w:val="32"/>
          <w:szCs w:val="32"/>
        </w:rPr>
        <w:t>般公共预算</w:t>
      </w:r>
      <w:r>
        <w:rPr>
          <w:rFonts w:hint="eastAsia" w:ascii="黑体" w:hAnsi="宋体" w:eastAsia="黑体"/>
          <w:sz w:val="32"/>
          <w:szCs w:val="32"/>
        </w:rPr>
        <w:t>“三公”经费预算情况说明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年公务接待费预算</w:t>
      </w:r>
      <w:r>
        <w:rPr>
          <w:rFonts w:hint="eastAsia" w:ascii="仿宋_GB2312" w:hAnsi="仿宋_GB2312" w:eastAsia="仿宋_GB2312" w:cs="仿宋_GB2312"/>
          <w:sz w:val="32"/>
          <w:szCs w:val="32"/>
          <w:lang w:val="en-US" w:eastAsia="zh-CN"/>
        </w:rPr>
        <w:t>10.83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11.84</w:t>
      </w:r>
      <w:r>
        <w:rPr>
          <w:rFonts w:hint="eastAsia" w:ascii="仿宋_GB2312" w:hAnsi="仿宋_GB2312" w:eastAsia="仿宋_GB2312" w:cs="仿宋_GB2312"/>
          <w:sz w:val="32"/>
          <w:szCs w:val="32"/>
        </w:rPr>
        <w:t>万元，同比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财政预算较上年有所增加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年公务用车运行维护费预算</w:t>
      </w:r>
      <w:r>
        <w:rPr>
          <w:rFonts w:hint="eastAsia" w:ascii="仿宋_GB2312" w:hAnsi="仿宋_GB2312" w:eastAsia="仿宋_GB2312" w:cs="仿宋_GB2312"/>
          <w:sz w:val="32"/>
          <w:szCs w:val="32"/>
          <w:lang w:val="en-US" w:eastAsia="zh-CN"/>
        </w:rPr>
        <w:t>41.86</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43.28</w:t>
      </w:r>
      <w:r>
        <w:rPr>
          <w:rFonts w:hint="eastAsia" w:ascii="仿宋_GB2312" w:hAnsi="仿宋_GB2312" w:eastAsia="仿宋_GB2312" w:cs="仿宋_GB2312"/>
          <w:sz w:val="32"/>
          <w:szCs w:val="32"/>
        </w:rPr>
        <w:t>万元，同比增加</w:t>
      </w: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原因是财政预算拨款较上年有所增加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因公出国（境)费用两年预算均为0。</w:t>
      </w:r>
    </w:p>
    <w:p>
      <w:pPr>
        <w:ind w:firstLine="640" w:firstLineChars="200"/>
        <w:rPr>
          <w:rFonts w:hint="eastAsia" w:ascii="仿宋" w:hAnsi="仿宋" w:eastAsia="仿宋" w:cs="宋体"/>
          <w:sz w:val="32"/>
          <w:szCs w:val="32"/>
        </w:rPr>
      </w:pPr>
      <w:r>
        <w:rPr>
          <w:rFonts w:hint="eastAsia" w:ascii="黑体" w:hAnsi="宋体" w:eastAsia="黑体"/>
          <w:sz w:val="32"/>
          <w:szCs w:val="32"/>
        </w:rPr>
        <w:t>五、政府采购安排情况</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年度我单位无政府采购安排</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六</w:t>
      </w:r>
      <w:r>
        <w:rPr>
          <w:rFonts w:hint="eastAsia" w:ascii="黑体" w:hAnsi="宋体" w:eastAsia="黑体"/>
          <w:sz w:val="32"/>
          <w:szCs w:val="32"/>
        </w:rPr>
        <w:t>、</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年度政府性基金预算支出情况说明。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年度没有使用政府性基金安排的支出。</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七</w:t>
      </w:r>
      <w:r>
        <w:rPr>
          <w:rFonts w:hint="eastAsia" w:ascii="黑体" w:hAnsi="宋体" w:eastAsia="黑体"/>
          <w:sz w:val="32"/>
          <w:szCs w:val="32"/>
        </w:rPr>
        <w:t>、</w:t>
      </w:r>
      <w:r>
        <w:rPr>
          <w:rFonts w:ascii="黑体" w:hAnsi="宋体" w:eastAsia="黑体"/>
          <w:sz w:val="32"/>
          <w:szCs w:val="32"/>
        </w:rPr>
        <w:t>20</w:t>
      </w:r>
      <w:r>
        <w:rPr>
          <w:rFonts w:hint="eastAsia" w:ascii="黑体" w:hAnsi="宋体" w:eastAsia="黑体"/>
          <w:sz w:val="32"/>
          <w:szCs w:val="32"/>
          <w:lang w:val="en-US" w:eastAsia="zh-CN"/>
        </w:rPr>
        <w:t>21</w:t>
      </w:r>
      <w:r>
        <w:rPr>
          <w:rFonts w:hint="eastAsia" w:ascii="黑体" w:hAnsi="宋体" w:eastAsia="黑体"/>
          <w:sz w:val="32"/>
          <w:szCs w:val="32"/>
        </w:rPr>
        <w:t>年度收支预算情况总体说明。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年预算总收入</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万元，预算总支出</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、关</w:t>
      </w:r>
      <w:r>
        <w:rPr>
          <w:rFonts w:ascii="黑体" w:hAnsi="宋体" w:eastAsia="黑体"/>
          <w:sz w:val="32"/>
          <w:szCs w:val="32"/>
        </w:rPr>
        <w:t>于部门收入总表的说明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年度预算收入</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万元，均为财政拨款收入。</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九</w:t>
      </w:r>
      <w:r>
        <w:rPr>
          <w:rFonts w:ascii="黑体" w:hAnsi="宋体" w:eastAsia="黑体"/>
          <w:sz w:val="32"/>
          <w:szCs w:val="32"/>
        </w:rPr>
        <w:t>、关于部门支出总表的说明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年预算支出</w:t>
      </w:r>
      <w:r>
        <w:rPr>
          <w:rFonts w:hint="eastAsia" w:ascii="仿宋_GB2312" w:hAnsi="仿宋_GB2312" w:eastAsia="仿宋_GB2312" w:cs="仿宋_GB2312"/>
          <w:sz w:val="32"/>
          <w:szCs w:val="32"/>
          <w:lang w:val="en-US" w:eastAsia="zh-CN"/>
        </w:rPr>
        <w:t>2002.09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1686.37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315.72</w:t>
      </w:r>
      <w:r>
        <w:rPr>
          <w:rFonts w:hint="eastAsia" w:ascii="仿宋_GB2312" w:hAnsi="仿宋_GB2312" w:eastAsia="仿宋_GB2312" w:cs="仿宋_GB2312"/>
          <w:sz w:val="32"/>
          <w:szCs w:val="32"/>
        </w:rPr>
        <w:t>万元。</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十</w:t>
      </w:r>
      <w:r>
        <w:rPr>
          <w:rFonts w:hint="eastAsia" w:ascii="黑体" w:hAnsi="宋体" w:eastAsia="黑体"/>
          <w:sz w:val="32"/>
          <w:szCs w:val="32"/>
        </w:rPr>
        <w:t>、其他重要事项的情况说明</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年度机关运行经费安排使用情况：</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2.78</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万元，水费</w:t>
      </w:r>
      <w:r>
        <w:rPr>
          <w:rFonts w:hint="eastAsia" w:ascii="仿宋_GB2312" w:hAnsi="仿宋_GB2312" w:eastAsia="仿宋_GB2312" w:cs="仿宋_GB2312"/>
          <w:sz w:val="32"/>
          <w:szCs w:val="32"/>
          <w:lang w:val="en-US" w:eastAsia="zh-CN"/>
        </w:rPr>
        <w:t>5.77</w:t>
      </w:r>
      <w:r>
        <w:rPr>
          <w:rFonts w:hint="eastAsia" w:ascii="仿宋_GB2312" w:hAnsi="仿宋_GB2312" w:eastAsia="仿宋_GB2312" w:cs="仿宋_GB2312"/>
          <w:sz w:val="32"/>
          <w:szCs w:val="32"/>
        </w:rPr>
        <w:t>万元，邮电费</w:t>
      </w:r>
      <w:r>
        <w:rPr>
          <w:rFonts w:hint="eastAsia" w:ascii="仿宋_GB2312" w:hAnsi="仿宋_GB2312" w:eastAsia="仿宋_GB2312" w:cs="仿宋_GB2312"/>
          <w:sz w:val="32"/>
          <w:szCs w:val="32"/>
          <w:lang w:val="en-US" w:eastAsia="zh-CN"/>
        </w:rPr>
        <w:t>7.44</w:t>
      </w:r>
      <w:r>
        <w:rPr>
          <w:rFonts w:hint="eastAsia" w:ascii="仿宋_GB2312" w:hAnsi="仿宋_GB2312" w:eastAsia="仿宋_GB2312" w:cs="仿宋_GB2312"/>
          <w:sz w:val="32"/>
          <w:szCs w:val="32"/>
        </w:rPr>
        <w:t>万元，取暖费</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58.66</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11.84</w:t>
      </w:r>
      <w:r>
        <w:rPr>
          <w:rFonts w:hint="eastAsia" w:ascii="仿宋_GB2312" w:hAnsi="仿宋_GB2312" w:eastAsia="仿宋_GB2312" w:cs="仿宋_GB2312"/>
          <w:sz w:val="32"/>
          <w:szCs w:val="32"/>
        </w:rPr>
        <w:t>万元，工会经费</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43.28</w:t>
      </w:r>
      <w:r>
        <w:rPr>
          <w:rFonts w:hint="eastAsia" w:ascii="仿宋_GB2312" w:hAnsi="仿宋_GB2312" w:eastAsia="仿宋_GB2312" w:cs="仿宋_GB2312"/>
          <w:sz w:val="32"/>
          <w:szCs w:val="32"/>
        </w:rPr>
        <w:t>万元，其他商品和服务支出</w:t>
      </w:r>
      <w:r>
        <w:rPr>
          <w:rFonts w:hint="eastAsia" w:ascii="仿宋_GB2312" w:hAnsi="仿宋_GB2312" w:eastAsia="仿宋_GB2312" w:cs="仿宋_GB2312"/>
          <w:sz w:val="32"/>
          <w:szCs w:val="32"/>
          <w:lang w:val="en-US" w:eastAsia="zh-CN"/>
        </w:rPr>
        <w:t>0.66</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（二）国有资产占有情况说明</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我单位车辆共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辆，其中：其他公务用车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（三）重点绩效评价结果等预算绩效情况说明</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年度我单位将推进预算绩效管理，严把绩效目标编制质量关，扎实做好预算绩效目标执行情况动态监控，深入推进重点项目绩效自评，做好绩效评价结果应用，牢固树立“花钱必问效”的绩效理念。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扶贫资金。</w:t>
      </w:r>
      <w:r>
        <w:rPr>
          <w:rFonts w:hint="eastAsia" w:ascii="仿宋_GB2312" w:hAnsi="仿宋_GB2312" w:eastAsia="仿宋_GB2312" w:cs="仿宋_GB2312"/>
          <w:sz w:val="32"/>
          <w:szCs w:val="32"/>
          <w:lang w:val="en-US" w:eastAsia="zh-CN"/>
        </w:rPr>
        <w:t>2021年度我单位无扶贫资金。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（五）举借债务情况。</w:t>
      </w:r>
      <w:r>
        <w:rPr>
          <w:rFonts w:hint="eastAsia" w:ascii="仿宋_GB2312" w:hAnsi="仿宋_GB2312" w:eastAsia="仿宋_GB2312" w:cs="仿宋_GB2312"/>
          <w:sz w:val="32"/>
          <w:szCs w:val="32"/>
          <w:lang w:val="en-US" w:eastAsia="zh-CN"/>
        </w:rPr>
        <w:t>2021年度我单位无债务。</w:t>
      </w:r>
    </w:p>
    <w:p>
      <w:pPr>
        <w:spacing w:line="560" w:lineRule="exact"/>
        <w:ind w:firstLine="640" w:firstLineChars="200"/>
        <w:rPr>
          <w:rFonts w:ascii="仿宋_GB2312" w:hAnsi="宋体" w:eastAsia="仿宋_GB2312" w:cs="宋体"/>
          <w:sz w:val="32"/>
          <w:szCs w:val="32"/>
        </w:rPr>
      </w:pPr>
    </w:p>
    <w:p>
      <w:pPr>
        <w:spacing w:line="560" w:lineRule="exact"/>
        <w:ind w:firstLine="640" w:firstLineChars="200"/>
        <w:rPr>
          <w:rFonts w:hint="eastAsia" w:ascii="黑体" w:hAnsi="宋体" w:eastAsia="黑体"/>
          <w:sz w:val="32"/>
          <w:szCs w:val="32"/>
        </w:rPr>
      </w:pPr>
    </w:p>
    <w:p>
      <w:pPr>
        <w:spacing w:line="560" w:lineRule="exact"/>
        <w:ind w:firstLine="640" w:firstLineChars="200"/>
        <w:rPr>
          <w:rFonts w:hint="eastAsia" w:ascii="黑体" w:hAnsi="宋体" w:eastAsia="黑体"/>
          <w:sz w:val="32"/>
          <w:szCs w:val="32"/>
        </w:rPr>
      </w:pPr>
    </w:p>
    <w:p>
      <w:pPr>
        <w:spacing w:line="560" w:lineRule="exact"/>
        <w:ind w:firstLine="640" w:firstLineChars="200"/>
        <w:rPr>
          <w:rFonts w:hint="eastAsia" w:ascii="黑体" w:hAnsi="宋体" w:eastAsia="黑体"/>
          <w:sz w:val="32"/>
          <w:szCs w:val="32"/>
        </w:rPr>
      </w:pPr>
    </w:p>
    <w:p>
      <w:pPr>
        <w:spacing w:line="560" w:lineRule="exact"/>
        <w:jc w:val="center"/>
        <w:rPr>
          <w:rFonts w:hint="eastAsia" w:ascii="黑体" w:hAnsi="宋体" w:eastAsia="黑体"/>
          <w:sz w:val="44"/>
          <w:szCs w:val="44"/>
        </w:rPr>
      </w:pPr>
    </w:p>
    <w:p>
      <w:pPr>
        <w:spacing w:line="560" w:lineRule="exact"/>
        <w:jc w:val="center"/>
        <w:rPr>
          <w:rFonts w:hint="eastAsia" w:ascii="黑体" w:hAnsi="宋体" w:eastAsia="黑体"/>
          <w:sz w:val="44"/>
          <w:szCs w:val="44"/>
        </w:rPr>
      </w:pPr>
      <w:r>
        <w:rPr>
          <w:rFonts w:hint="eastAsia" w:ascii="黑体" w:hAnsi="宋体" w:eastAsia="黑体"/>
          <w:sz w:val="44"/>
          <w:szCs w:val="44"/>
        </w:rPr>
        <w:t>第四部分</w:t>
      </w:r>
    </w:p>
    <w:p>
      <w:pPr>
        <w:spacing w:line="560" w:lineRule="exact"/>
        <w:jc w:val="center"/>
        <w:rPr>
          <w:rFonts w:hint="eastAsia" w:ascii="黑体" w:hAnsi="宋体" w:eastAsia="黑体"/>
          <w:sz w:val="44"/>
          <w:szCs w:val="44"/>
        </w:rPr>
      </w:pPr>
    </w:p>
    <w:p>
      <w:pPr>
        <w:spacing w:line="560" w:lineRule="exact"/>
        <w:jc w:val="center"/>
        <w:rPr>
          <w:rFonts w:ascii="黑体" w:hAnsi="宋体" w:eastAsia="黑体"/>
          <w:sz w:val="44"/>
          <w:szCs w:val="44"/>
        </w:rPr>
      </w:pPr>
      <w:r>
        <w:rPr>
          <w:rFonts w:hint="eastAsia" w:ascii="黑体" w:hAnsi="宋体" w:eastAsia="黑体"/>
          <w:sz w:val="44"/>
          <w:szCs w:val="44"/>
        </w:rPr>
        <w:t>名词解释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、一般公共预算拨款收入：指财政</w:t>
      </w:r>
      <w:r>
        <w:rPr>
          <w:rFonts w:hint="eastAsia" w:ascii="仿宋_GB2312" w:hAnsi="宋体" w:eastAsia="仿宋_GB2312" w:cs="宋体"/>
          <w:sz w:val="32"/>
          <w:szCs w:val="32"/>
        </w:rPr>
        <w:t>部门</w:t>
      </w:r>
      <w:r>
        <w:rPr>
          <w:rFonts w:ascii="仿宋_GB2312" w:hAnsi="宋体" w:eastAsia="仿宋_GB2312" w:cs="宋体"/>
          <w:sz w:val="32"/>
          <w:szCs w:val="32"/>
        </w:rPr>
        <w:t>当年拨付的资金。</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、其他收入</w:t>
      </w:r>
      <w:r>
        <w:rPr>
          <w:rFonts w:hint="eastAsia" w:ascii="仿宋_GB2312" w:hAnsi="宋体" w:eastAsia="仿宋_GB2312" w:cs="宋体"/>
          <w:sz w:val="32"/>
          <w:szCs w:val="32"/>
        </w:rPr>
        <w:t>：指</w:t>
      </w:r>
      <w:r>
        <w:rPr>
          <w:rFonts w:ascii="仿宋_GB2312" w:hAnsi="宋体" w:eastAsia="仿宋_GB2312" w:cs="宋体"/>
          <w:sz w:val="32"/>
          <w:szCs w:val="32"/>
        </w:rPr>
        <w:t>上述“一般公共预算拨款收入”以外的收入。主</w:t>
      </w:r>
      <w:r>
        <w:rPr>
          <w:rFonts w:hint="eastAsia" w:ascii="仿宋_GB2312" w:hAnsi="宋体" w:eastAsia="仿宋_GB2312" w:cs="宋体"/>
          <w:sz w:val="32"/>
          <w:szCs w:val="32"/>
        </w:rPr>
        <w:t>要</w:t>
      </w:r>
      <w:r>
        <w:rPr>
          <w:rFonts w:ascii="仿宋_GB2312" w:hAnsi="宋体" w:eastAsia="仿宋_GB2312" w:cs="宋体"/>
          <w:sz w:val="32"/>
          <w:szCs w:val="32"/>
        </w:rPr>
        <w:t>是按规定</w:t>
      </w:r>
      <w:r>
        <w:rPr>
          <w:rFonts w:hint="eastAsia" w:ascii="仿宋_GB2312" w:hAnsi="宋体" w:eastAsia="仿宋_GB2312" w:cs="宋体"/>
          <w:sz w:val="32"/>
          <w:szCs w:val="32"/>
        </w:rPr>
        <w:t>动</w:t>
      </w:r>
      <w:r>
        <w:rPr>
          <w:rFonts w:ascii="仿宋_GB2312" w:hAnsi="宋体" w:eastAsia="仿宋_GB2312" w:cs="宋体"/>
          <w:sz w:val="32"/>
          <w:szCs w:val="32"/>
        </w:rPr>
        <w:t>用的</w:t>
      </w:r>
      <w:r>
        <w:rPr>
          <w:rFonts w:hint="eastAsia" w:ascii="仿宋_GB2312" w:hAnsi="宋体" w:eastAsia="仿宋_GB2312" w:cs="宋体"/>
          <w:sz w:val="32"/>
          <w:szCs w:val="32"/>
        </w:rPr>
        <w:t>售房</w:t>
      </w:r>
      <w:r>
        <w:rPr>
          <w:rFonts w:ascii="仿宋_GB2312" w:hAnsi="宋体" w:eastAsia="仿宋_GB2312" w:cs="宋体"/>
          <w:sz w:val="32"/>
          <w:szCs w:val="32"/>
        </w:rPr>
        <w:t>收入、存款利息收入等。</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sz w:val="24"/>
        <w:szCs w:val="24"/>
      </w:rPr>
    </w:pPr>
    <w:r>
      <w:rPr>
        <w:rFonts w:hint="eastAsia"/>
        <w:sz w:val="24"/>
        <w:szCs w:val="24"/>
        <w:lang w:eastAsia="zh-CN"/>
      </w:rPr>
      <w:t>—</w:t>
    </w:r>
    <w:r>
      <w:rPr>
        <w:rFonts w:hint="eastAsia"/>
        <w:sz w:val="24"/>
        <w:szCs w:val="24"/>
        <w:lang w:val="en-US" w:eastAsia="zh-CN"/>
      </w:rPr>
      <w:t xml:space="preserve"> </w:t>
    </w: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r>
      <w:rPr>
        <w:rFonts w:hint="eastAsia"/>
        <w:sz w:val="24"/>
        <w:szCs w:val="24"/>
        <w:lang w:val="en-US" w:eastAsia="zh-CN"/>
      </w:rPr>
      <w:t xml:space="preserve"> </w:t>
    </w:r>
    <w:r>
      <w:rPr>
        <w:rFonts w:hint="eastAsia"/>
        <w:sz w:val="24"/>
        <w:szCs w:val="24"/>
        <w:lang w:eastAsia="zh-CN"/>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E0"/>
    <w:rsid w:val="00000EDB"/>
    <w:rsid w:val="00000F6C"/>
    <w:rsid w:val="00001BB3"/>
    <w:rsid w:val="00001F55"/>
    <w:rsid w:val="0000201D"/>
    <w:rsid w:val="00005BCF"/>
    <w:rsid w:val="000064B6"/>
    <w:rsid w:val="0000666C"/>
    <w:rsid w:val="00012974"/>
    <w:rsid w:val="00013C37"/>
    <w:rsid w:val="00015342"/>
    <w:rsid w:val="00015F4D"/>
    <w:rsid w:val="000348B8"/>
    <w:rsid w:val="00043BD0"/>
    <w:rsid w:val="00044A1F"/>
    <w:rsid w:val="00070A0E"/>
    <w:rsid w:val="000732EB"/>
    <w:rsid w:val="0007736D"/>
    <w:rsid w:val="0009277E"/>
    <w:rsid w:val="000A0A9E"/>
    <w:rsid w:val="000A0C30"/>
    <w:rsid w:val="000A192B"/>
    <w:rsid w:val="000A3238"/>
    <w:rsid w:val="000A60CD"/>
    <w:rsid w:val="000A79B6"/>
    <w:rsid w:val="000B1B29"/>
    <w:rsid w:val="000B45A9"/>
    <w:rsid w:val="000C3248"/>
    <w:rsid w:val="000C43F9"/>
    <w:rsid w:val="000C6C13"/>
    <w:rsid w:val="000D4C3E"/>
    <w:rsid w:val="000D6154"/>
    <w:rsid w:val="000D65E8"/>
    <w:rsid w:val="000E231B"/>
    <w:rsid w:val="000E2EDA"/>
    <w:rsid w:val="000F438D"/>
    <w:rsid w:val="001026E0"/>
    <w:rsid w:val="00102B0E"/>
    <w:rsid w:val="00124CE8"/>
    <w:rsid w:val="001251FE"/>
    <w:rsid w:val="001252E5"/>
    <w:rsid w:val="001337DD"/>
    <w:rsid w:val="00151634"/>
    <w:rsid w:val="00151DFA"/>
    <w:rsid w:val="001520CC"/>
    <w:rsid w:val="001549E6"/>
    <w:rsid w:val="001566F8"/>
    <w:rsid w:val="0017073B"/>
    <w:rsid w:val="0017102B"/>
    <w:rsid w:val="00172075"/>
    <w:rsid w:val="00175B34"/>
    <w:rsid w:val="00185BD5"/>
    <w:rsid w:val="00193FEF"/>
    <w:rsid w:val="00194610"/>
    <w:rsid w:val="001A70D7"/>
    <w:rsid w:val="001A7B4D"/>
    <w:rsid w:val="001B1B7B"/>
    <w:rsid w:val="001B4065"/>
    <w:rsid w:val="001B767B"/>
    <w:rsid w:val="001B7E79"/>
    <w:rsid w:val="001C0178"/>
    <w:rsid w:val="001C385C"/>
    <w:rsid w:val="001C67CF"/>
    <w:rsid w:val="001D49EE"/>
    <w:rsid w:val="001D660B"/>
    <w:rsid w:val="001E3BFC"/>
    <w:rsid w:val="001E5501"/>
    <w:rsid w:val="001E6D89"/>
    <w:rsid w:val="001F47BD"/>
    <w:rsid w:val="001F71D2"/>
    <w:rsid w:val="00202E30"/>
    <w:rsid w:val="00215B43"/>
    <w:rsid w:val="00215EC4"/>
    <w:rsid w:val="00220B54"/>
    <w:rsid w:val="00221072"/>
    <w:rsid w:val="002240B5"/>
    <w:rsid w:val="002262B6"/>
    <w:rsid w:val="002263A9"/>
    <w:rsid w:val="002273C8"/>
    <w:rsid w:val="00234E67"/>
    <w:rsid w:val="00235F5D"/>
    <w:rsid w:val="00237C88"/>
    <w:rsid w:val="00240438"/>
    <w:rsid w:val="002420A3"/>
    <w:rsid w:val="00247AB6"/>
    <w:rsid w:val="00253C37"/>
    <w:rsid w:val="00273900"/>
    <w:rsid w:val="00285BB0"/>
    <w:rsid w:val="0029059A"/>
    <w:rsid w:val="002934AF"/>
    <w:rsid w:val="00295D05"/>
    <w:rsid w:val="002A3954"/>
    <w:rsid w:val="002C7AC2"/>
    <w:rsid w:val="002D6813"/>
    <w:rsid w:val="002D6EF9"/>
    <w:rsid w:val="002E229B"/>
    <w:rsid w:val="002E403D"/>
    <w:rsid w:val="002F4437"/>
    <w:rsid w:val="002F47BA"/>
    <w:rsid w:val="00305367"/>
    <w:rsid w:val="0030679E"/>
    <w:rsid w:val="0031669D"/>
    <w:rsid w:val="00316AC5"/>
    <w:rsid w:val="003173B5"/>
    <w:rsid w:val="00322768"/>
    <w:rsid w:val="00323CD0"/>
    <w:rsid w:val="00336582"/>
    <w:rsid w:val="00340D49"/>
    <w:rsid w:val="00344BE5"/>
    <w:rsid w:val="0035015A"/>
    <w:rsid w:val="00353909"/>
    <w:rsid w:val="00354A37"/>
    <w:rsid w:val="00354F73"/>
    <w:rsid w:val="003568CC"/>
    <w:rsid w:val="00374846"/>
    <w:rsid w:val="00376D13"/>
    <w:rsid w:val="003771ED"/>
    <w:rsid w:val="0039576F"/>
    <w:rsid w:val="003A328F"/>
    <w:rsid w:val="003A409E"/>
    <w:rsid w:val="003B12A0"/>
    <w:rsid w:val="003B737F"/>
    <w:rsid w:val="003C15F0"/>
    <w:rsid w:val="003C37CA"/>
    <w:rsid w:val="003E113F"/>
    <w:rsid w:val="003E11CF"/>
    <w:rsid w:val="003F1CC7"/>
    <w:rsid w:val="003F54E4"/>
    <w:rsid w:val="00400240"/>
    <w:rsid w:val="00404324"/>
    <w:rsid w:val="00406674"/>
    <w:rsid w:val="004079B5"/>
    <w:rsid w:val="00407FCD"/>
    <w:rsid w:val="004177D0"/>
    <w:rsid w:val="00424873"/>
    <w:rsid w:val="00427770"/>
    <w:rsid w:val="00430C57"/>
    <w:rsid w:val="004401A5"/>
    <w:rsid w:val="00450C91"/>
    <w:rsid w:val="004521D5"/>
    <w:rsid w:val="004539FE"/>
    <w:rsid w:val="00455406"/>
    <w:rsid w:val="00457B28"/>
    <w:rsid w:val="00457EA9"/>
    <w:rsid w:val="00463366"/>
    <w:rsid w:val="00473415"/>
    <w:rsid w:val="0048190F"/>
    <w:rsid w:val="00483DD6"/>
    <w:rsid w:val="0049276B"/>
    <w:rsid w:val="00492F9D"/>
    <w:rsid w:val="0049330E"/>
    <w:rsid w:val="00494650"/>
    <w:rsid w:val="00496BCA"/>
    <w:rsid w:val="004B003D"/>
    <w:rsid w:val="004B1224"/>
    <w:rsid w:val="004B7A0B"/>
    <w:rsid w:val="004C1266"/>
    <w:rsid w:val="004C210D"/>
    <w:rsid w:val="004C59E0"/>
    <w:rsid w:val="004C6447"/>
    <w:rsid w:val="004C6EEC"/>
    <w:rsid w:val="004D5739"/>
    <w:rsid w:val="004D7EC3"/>
    <w:rsid w:val="004E0DB2"/>
    <w:rsid w:val="004E310E"/>
    <w:rsid w:val="004E41D6"/>
    <w:rsid w:val="00501190"/>
    <w:rsid w:val="00511325"/>
    <w:rsid w:val="0051560E"/>
    <w:rsid w:val="00516EAA"/>
    <w:rsid w:val="00524045"/>
    <w:rsid w:val="0052615B"/>
    <w:rsid w:val="00534A7C"/>
    <w:rsid w:val="005378BC"/>
    <w:rsid w:val="00543037"/>
    <w:rsid w:val="00544157"/>
    <w:rsid w:val="005468A0"/>
    <w:rsid w:val="0055534D"/>
    <w:rsid w:val="00570B6C"/>
    <w:rsid w:val="00574634"/>
    <w:rsid w:val="00574E68"/>
    <w:rsid w:val="0057795E"/>
    <w:rsid w:val="005A03DC"/>
    <w:rsid w:val="005A04FF"/>
    <w:rsid w:val="005A33ED"/>
    <w:rsid w:val="005A4B7E"/>
    <w:rsid w:val="005A60E8"/>
    <w:rsid w:val="005A6770"/>
    <w:rsid w:val="005B095C"/>
    <w:rsid w:val="005B5FE7"/>
    <w:rsid w:val="005B6BEC"/>
    <w:rsid w:val="005B7451"/>
    <w:rsid w:val="005B74BB"/>
    <w:rsid w:val="005C10E0"/>
    <w:rsid w:val="005C4615"/>
    <w:rsid w:val="005C6149"/>
    <w:rsid w:val="005E008A"/>
    <w:rsid w:val="005E1089"/>
    <w:rsid w:val="005E35D0"/>
    <w:rsid w:val="005E76A6"/>
    <w:rsid w:val="00603671"/>
    <w:rsid w:val="0060590B"/>
    <w:rsid w:val="00605E1E"/>
    <w:rsid w:val="006064D1"/>
    <w:rsid w:val="00611519"/>
    <w:rsid w:val="006211FC"/>
    <w:rsid w:val="00625F27"/>
    <w:rsid w:val="006275BE"/>
    <w:rsid w:val="0063162F"/>
    <w:rsid w:val="00633690"/>
    <w:rsid w:val="00642963"/>
    <w:rsid w:val="00645BC3"/>
    <w:rsid w:val="006509C3"/>
    <w:rsid w:val="00651CCF"/>
    <w:rsid w:val="006647E0"/>
    <w:rsid w:val="00670208"/>
    <w:rsid w:val="00675C84"/>
    <w:rsid w:val="00683AD7"/>
    <w:rsid w:val="00696C9A"/>
    <w:rsid w:val="00697DD8"/>
    <w:rsid w:val="006A1673"/>
    <w:rsid w:val="006B19AE"/>
    <w:rsid w:val="006B5008"/>
    <w:rsid w:val="006C6008"/>
    <w:rsid w:val="006C63EC"/>
    <w:rsid w:val="006F0213"/>
    <w:rsid w:val="006F2807"/>
    <w:rsid w:val="006F73F9"/>
    <w:rsid w:val="006F7C26"/>
    <w:rsid w:val="00702EE2"/>
    <w:rsid w:val="00710AD7"/>
    <w:rsid w:val="007201CB"/>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A06B5"/>
    <w:rsid w:val="007A0843"/>
    <w:rsid w:val="007A647B"/>
    <w:rsid w:val="007A7BB5"/>
    <w:rsid w:val="007B055E"/>
    <w:rsid w:val="007C456D"/>
    <w:rsid w:val="007C76E2"/>
    <w:rsid w:val="007D01EE"/>
    <w:rsid w:val="007D65BE"/>
    <w:rsid w:val="007E22B6"/>
    <w:rsid w:val="007F2636"/>
    <w:rsid w:val="007F73DD"/>
    <w:rsid w:val="008026B4"/>
    <w:rsid w:val="0080588D"/>
    <w:rsid w:val="0080667E"/>
    <w:rsid w:val="00806D27"/>
    <w:rsid w:val="008131FD"/>
    <w:rsid w:val="00815858"/>
    <w:rsid w:val="00817218"/>
    <w:rsid w:val="00820681"/>
    <w:rsid w:val="00825BE5"/>
    <w:rsid w:val="00827238"/>
    <w:rsid w:val="0083170F"/>
    <w:rsid w:val="008366DE"/>
    <w:rsid w:val="00846054"/>
    <w:rsid w:val="00854E0F"/>
    <w:rsid w:val="00855772"/>
    <w:rsid w:val="00856BBB"/>
    <w:rsid w:val="0086333C"/>
    <w:rsid w:val="00864CD9"/>
    <w:rsid w:val="0086784E"/>
    <w:rsid w:val="00873545"/>
    <w:rsid w:val="00882707"/>
    <w:rsid w:val="00883FBC"/>
    <w:rsid w:val="00885B2D"/>
    <w:rsid w:val="0088732D"/>
    <w:rsid w:val="00891A65"/>
    <w:rsid w:val="00894AD1"/>
    <w:rsid w:val="008C1C35"/>
    <w:rsid w:val="008C4BF3"/>
    <w:rsid w:val="008C61C6"/>
    <w:rsid w:val="008D2486"/>
    <w:rsid w:val="008D63C0"/>
    <w:rsid w:val="008E7029"/>
    <w:rsid w:val="008F0FFC"/>
    <w:rsid w:val="00902033"/>
    <w:rsid w:val="00902AF7"/>
    <w:rsid w:val="00912399"/>
    <w:rsid w:val="00916092"/>
    <w:rsid w:val="0093086A"/>
    <w:rsid w:val="00943B80"/>
    <w:rsid w:val="009448EE"/>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33EF"/>
    <w:rsid w:val="009C6035"/>
    <w:rsid w:val="009D1A24"/>
    <w:rsid w:val="009D4CAA"/>
    <w:rsid w:val="009D7608"/>
    <w:rsid w:val="009F0B70"/>
    <w:rsid w:val="009F4044"/>
    <w:rsid w:val="009F4BBE"/>
    <w:rsid w:val="009F6F84"/>
    <w:rsid w:val="00A00F7F"/>
    <w:rsid w:val="00A0325C"/>
    <w:rsid w:val="00A15D00"/>
    <w:rsid w:val="00A1641F"/>
    <w:rsid w:val="00A16719"/>
    <w:rsid w:val="00A31616"/>
    <w:rsid w:val="00A322E4"/>
    <w:rsid w:val="00A36BAB"/>
    <w:rsid w:val="00A42A72"/>
    <w:rsid w:val="00A42D97"/>
    <w:rsid w:val="00A50FB4"/>
    <w:rsid w:val="00A5423B"/>
    <w:rsid w:val="00A60388"/>
    <w:rsid w:val="00A731F8"/>
    <w:rsid w:val="00A75146"/>
    <w:rsid w:val="00A82216"/>
    <w:rsid w:val="00A8277E"/>
    <w:rsid w:val="00A839A1"/>
    <w:rsid w:val="00A83E50"/>
    <w:rsid w:val="00A84483"/>
    <w:rsid w:val="00A91140"/>
    <w:rsid w:val="00A9298E"/>
    <w:rsid w:val="00A94DA8"/>
    <w:rsid w:val="00AB223F"/>
    <w:rsid w:val="00AC06CE"/>
    <w:rsid w:val="00AC2F74"/>
    <w:rsid w:val="00AD58A5"/>
    <w:rsid w:val="00AF617F"/>
    <w:rsid w:val="00AF702E"/>
    <w:rsid w:val="00B16F04"/>
    <w:rsid w:val="00B207AD"/>
    <w:rsid w:val="00B24B71"/>
    <w:rsid w:val="00B252E9"/>
    <w:rsid w:val="00B330AA"/>
    <w:rsid w:val="00B35DF8"/>
    <w:rsid w:val="00B45488"/>
    <w:rsid w:val="00B456F7"/>
    <w:rsid w:val="00B55C32"/>
    <w:rsid w:val="00B61C08"/>
    <w:rsid w:val="00B6329D"/>
    <w:rsid w:val="00B71D11"/>
    <w:rsid w:val="00B853BC"/>
    <w:rsid w:val="00B93272"/>
    <w:rsid w:val="00B97D4E"/>
    <w:rsid w:val="00BA12E7"/>
    <w:rsid w:val="00BA2282"/>
    <w:rsid w:val="00BA2AAE"/>
    <w:rsid w:val="00BA40D8"/>
    <w:rsid w:val="00BB3820"/>
    <w:rsid w:val="00BC1E99"/>
    <w:rsid w:val="00BC70AF"/>
    <w:rsid w:val="00BD2609"/>
    <w:rsid w:val="00BD4DC6"/>
    <w:rsid w:val="00BE2860"/>
    <w:rsid w:val="00BE5BA0"/>
    <w:rsid w:val="00BE5DCE"/>
    <w:rsid w:val="00BE6B37"/>
    <w:rsid w:val="00BF067B"/>
    <w:rsid w:val="00BF5087"/>
    <w:rsid w:val="00C0374B"/>
    <w:rsid w:val="00C04035"/>
    <w:rsid w:val="00C04C26"/>
    <w:rsid w:val="00C0787C"/>
    <w:rsid w:val="00C16FD2"/>
    <w:rsid w:val="00C2233E"/>
    <w:rsid w:val="00C33398"/>
    <w:rsid w:val="00C4475D"/>
    <w:rsid w:val="00C5078B"/>
    <w:rsid w:val="00C546CF"/>
    <w:rsid w:val="00C57D2E"/>
    <w:rsid w:val="00C630F5"/>
    <w:rsid w:val="00C65B20"/>
    <w:rsid w:val="00C7134B"/>
    <w:rsid w:val="00C74056"/>
    <w:rsid w:val="00C751B6"/>
    <w:rsid w:val="00C851D6"/>
    <w:rsid w:val="00C91F4F"/>
    <w:rsid w:val="00C92A82"/>
    <w:rsid w:val="00C93485"/>
    <w:rsid w:val="00C93F0D"/>
    <w:rsid w:val="00C93FBC"/>
    <w:rsid w:val="00CA01F9"/>
    <w:rsid w:val="00CA21CB"/>
    <w:rsid w:val="00CA495D"/>
    <w:rsid w:val="00CB7E89"/>
    <w:rsid w:val="00CC1636"/>
    <w:rsid w:val="00CC17C4"/>
    <w:rsid w:val="00CC1EE4"/>
    <w:rsid w:val="00CC6057"/>
    <w:rsid w:val="00CE26C6"/>
    <w:rsid w:val="00CE5C16"/>
    <w:rsid w:val="00CE6A3B"/>
    <w:rsid w:val="00CF0127"/>
    <w:rsid w:val="00CF2753"/>
    <w:rsid w:val="00CF4FEB"/>
    <w:rsid w:val="00CF5B78"/>
    <w:rsid w:val="00D03C82"/>
    <w:rsid w:val="00D16C52"/>
    <w:rsid w:val="00D2411D"/>
    <w:rsid w:val="00D3160D"/>
    <w:rsid w:val="00D369EB"/>
    <w:rsid w:val="00D57126"/>
    <w:rsid w:val="00D57776"/>
    <w:rsid w:val="00D6368F"/>
    <w:rsid w:val="00D70A56"/>
    <w:rsid w:val="00D718F4"/>
    <w:rsid w:val="00D76C6E"/>
    <w:rsid w:val="00D77967"/>
    <w:rsid w:val="00D80F51"/>
    <w:rsid w:val="00D81EDD"/>
    <w:rsid w:val="00D85304"/>
    <w:rsid w:val="00D925C8"/>
    <w:rsid w:val="00DA0C82"/>
    <w:rsid w:val="00DA6088"/>
    <w:rsid w:val="00DA78D4"/>
    <w:rsid w:val="00DA7B81"/>
    <w:rsid w:val="00DB2CB8"/>
    <w:rsid w:val="00DB3245"/>
    <w:rsid w:val="00DC50F0"/>
    <w:rsid w:val="00DD5103"/>
    <w:rsid w:val="00DE268F"/>
    <w:rsid w:val="00DF036B"/>
    <w:rsid w:val="00DF4521"/>
    <w:rsid w:val="00DF5B02"/>
    <w:rsid w:val="00E0161D"/>
    <w:rsid w:val="00E017A9"/>
    <w:rsid w:val="00E07B64"/>
    <w:rsid w:val="00E13F71"/>
    <w:rsid w:val="00E23026"/>
    <w:rsid w:val="00E235E1"/>
    <w:rsid w:val="00E55046"/>
    <w:rsid w:val="00E551FA"/>
    <w:rsid w:val="00E70266"/>
    <w:rsid w:val="00E73B7F"/>
    <w:rsid w:val="00E747B0"/>
    <w:rsid w:val="00E772DF"/>
    <w:rsid w:val="00E773CB"/>
    <w:rsid w:val="00E838E0"/>
    <w:rsid w:val="00E900CF"/>
    <w:rsid w:val="00E95D6E"/>
    <w:rsid w:val="00EA4F52"/>
    <w:rsid w:val="00EB29F4"/>
    <w:rsid w:val="00EC6AE3"/>
    <w:rsid w:val="00ED19F0"/>
    <w:rsid w:val="00ED20FD"/>
    <w:rsid w:val="00ED47C1"/>
    <w:rsid w:val="00EE1857"/>
    <w:rsid w:val="00EE21DA"/>
    <w:rsid w:val="00EE23B8"/>
    <w:rsid w:val="00EE2D4F"/>
    <w:rsid w:val="00EE7722"/>
    <w:rsid w:val="00EF42F7"/>
    <w:rsid w:val="00EF4B13"/>
    <w:rsid w:val="00F01B31"/>
    <w:rsid w:val="00F02FF5"/>
    <w:rsid w:val="00F1010B"/>
    <w:rsid w:val="00F11873"/>
    <w:rsid w:val="00F31216"/>
    <w:rsid w:val="00F324AF"/>
    <w:rsid w:val="00F34A73"/>
    <w:rsid w:val="00F401DF"/>
    <w:rsid w:val="00F40FB6"/>
    <w:rsid w:val="00F50831"/>
    <w:rsid w:val="00F530D2"/>
    <w:rsid w:val="00F54C87"/>
    <w:rsid w:val="00F62B7F"/>
    <w:rsid w:val="00F7159E"/>
    <w:rsid w:val="00F72E63"/>
    <w:rsid w:val="00F74D46"/>
    <w:rsid w:val="00F75E95"/>
    <w:rsid w:val="00F81A4A"/>
    <w:rsid w:val="00F9614C"/>
    <w:rsid w:val="00FA340E"/>
    <w:rsid w:val="00FB2EC0"/>
    <w:rsid w:val="00FB385F"/>
    <w:rsid w:val="00FB4373"/>
    <w:rsid w:val="00FC1CBD"/>
    <w:rsid w:val="00FC6165"/>
    <w:rsid w:val="00FC7B6C"/>
    <w:rsid w:val="00FD1AEB"/>
    <w:rsid w:val="00FD539C"/>
    <w:rsid w:val="00FE25CC"/>
    <w:rsid w:val="00FE4C5E"/>
    <w:rsid w:val="00FE6733"/>
    <w:rsid w:val="00FF34F0"/>
    <w:rsid w:val="00FF39E9"/>
    <w:rsid w:val="00FF68DD"/>
    <w:rsid w:val="015D0D28"/>
    <w:rsid w:val="05F606E7"/>
    <w:rsid w:val="07C82DF2"/>
    <w:rsid w:val="203C0FBD"/>
    <w:rsid w:val="26203F00"/>
    <w:rsid w:val="2BB66A52"/>
    <w:rsid w:val="2E6239C9"/>
    <w:rsid w:val="36FA4C0F"/>
    <w:rsid w:val="3FBE5662"/>
    <w:rsid w:val="405113A2"/>
    <w:rsid w:val="4116589D"/>
    <w:rsid w:val="42536837"/>
    <w:rsid w:val="467A5887"/>
    <w:rsid w:val="4CAE4827"/>
    <w:rsid w:val="543D65CF"/>
    <w:rsid w:val="5A984376"/>
    <w:rsid w:val="665D1A1F"/>
    <w:rsid w:val="6964000B"/>
    <w:rsid w:val="6BDB0BB7"/>
    <w:rsid w:val="6EF92952"/>
    <w:rsid w:val="77D7036B"/>
    <w:rsid w:val="7E56431E"/>
    <w:rsid w:val="7F5D5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599</Words>
  <Characters>3417</Characters>
  <Lines>28</Lines>
  <Paragraphs>8</Paragraphs>
  <TotalTime>6</TotalTime>
  <ScaleCrop>false</ScaleCrop>
  <LinksUpToDate>false</LinksUpToDate>
  <CharactersWithSpaces>4008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2016-03-10T01:23:00Z</dcterms:created>
  <dc:creator>微软用户</dc:creator>
  <cp:lastModifiedBy>Gongzi༄Yu</cp:lastModifiedBy>
  <cp:lastPrinted>2015-11-17T10:43:00Z</cp:lastPrinted>
  <dcterms:modified xsi:type="dcterms:W3CDTF">2021-02-06T04:10:24Z</dcterms:modified>
  <dc:title>2013年度西藏自治区教育厅</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