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黑体" w:cs="Times New Roman"/>
          <w:w w:val="93"/>
          <w:sz w:val="36"/>
          <w:szCs w:val="36"/>
          <w:lang w:val="en-US" w:eastAsia="zh-CN"/>
        </w:rPr>
      </w:pPr>
      <w:r>
        <w:rPr>
          <w:rFonts w:hint="eastAsia" w:eastAsia="黑体" w:cs="Times New Roman"/>
          <w:w w:val="93"/>
          <w:sz w:val="36"/>
          <w:szCs w:val="36"/>
          <w:lang w:val="en-US" w:eastAsia="zh-CN"/>
        </w:rPr>
        <w:t>林芝</w:t>
      </w:r>
      <w:r>
        <w:rPr>
          <w:rFonts w:hint="default" w:ascii="Times New Roman" w:hAnsi="Times New Roman" w:eastAsia="黑体" w:cs="Times New Roman"/>
          <w:w w:val="93"/>
          <w:sz w:val="36"/>
          <w:szCs w:val="36"/>
          <w:lang w:val="en-US" w:eastAsia="zh-CN"/>
        </w:rPr>
        <w:t>市</w:t>
      </w:r>
      <w:r>
        <w:rPr>
          <w:rFonts w:hint="default" w:ascii="Times New Roman" w:hAnsi="Times New Roman" w:eastAsia="黑体" w:cs="Times New Roman"/>
          <w:w w:val="93"/>
          <w:sz w:val="36"/>
          <w:szCs w:val="36"/>
        </w:rPr>
        <w:t>消防安全重点单位申报备案登记表</w:t>
      </w:r>
      <w:r>
        <w:rPr>
          <w:rFonts w:hint="default" w:ascii="Times New Roman" w:hAnsi="Times New Roman" w:eastAsia="黑体" w:cs="Times New Roman"/>
          <w:w w:val="93"/>
          <w:sz w:val="36"/>
          <w:szCs w:val="36"/>
          <w:lang w:eastAsia="zh-CN"/>
        </w:rPr>
        <w:t>（</w:t>
      </w:r>
      <w:r>
        <w:rPr>
          <w:rFonts w:hint="default" w:ascii="Times New Roman" w:hAnsi="Times New Roman" w:eastAsia="黑体" w:cs="Times New Roman"/>
          <w:w w:val="93"/>
          <w:sz w:val="36"/>
          <w:szCs w:val="36"/>
          <w:lang w:val="en-US" w:eastAsia="zh-CN"/>
        </w:rPr>
        <w:t>县（</w:t>
      </w:r>
      <w:r>
        <w:rPr>
          <w:rFonts w:hint="eastAsia" w:eastAsia="黑体" w:cs="Times New Roman"/>
          <w:w w:val="93"/>
          <w:sz w:val="36"/>
          <w:szCs w:val="36"/>
          <w:lang w:val="en-US" w:eastAsia="zh-CN"/>
        </w:rPr>
        <w:t>市、</w:t>
      </w:r>
      <w:r>
        <w:rPr>
          <w:rFonts w:hint="default" w:ascii="Times New Roman" w:hAnsi="Times New Roman" w:eastAsia="黑体" w:cs="Times New Roman"/>
          <w:w w:val="93"/>
          <w:sz w:val="36"/>
          <w:szCs w:val="36"/>
          <w:lang w:val="en-US" w:eastAsia="zh-CN"/>
        </w:rPr>
        <w:t>区）级）</w:t>
      </w:r>
    </w:p>
    <w:p>
      <w:pPr>
        <w:spacing w:line="560" w:lineRule="exact"/>
        <w:jc w:val="center"/>
        <w:rPr>
          <w:rFonts w:hint="default" w:ascii="Times New Roman" w:hAnsi="Times New Roman" w:eastAsia="黑体" w:cs="Times New Roman"/>
          <w:sz w:val="36"/>
          <w:szCs w:val="36"/>
        </w:rPr>
      </w:pPr>
    </w:p>
    <w:tbl>
      <w:tblPr>
        <w:tblStyle w:val="2"/>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80"/>
        <w:gridCol w:w="1116"/>
        <w:gridCol w:w="146"/>
        <w:gridCol w:w="906"/>
        <w:gridCol w:w="64"/>
        <w:gridCol w:w="1116"/>
        <w:gridCol w:w="72"/>
        <w:gridCol w:w="1044"/>
        <w:gridCol w:w="1104"/>
        <w:gridCol w:w="127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19" w:type="dxa"/>
            <w:gridSpan w:val="2"/>
            <w:tcBorders>
              <w:top w:val="single" w:color="auto" w:sz="4" w:space="0"/>
              <w:left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5568" w:type="dxa"/>
            <w:gridSpan w:val="8"/>
            <w:tcBorders>
              <w:top w:val="single" w:color="auto" w:sz="4" w:space="0"/>
            </w:tcBorders>
            <w:noWrap w:val="0"/>
            <w:vAlign w:val="center"/>
          </w:tcPr>
          <w:p>
            <w:pPr>
              <w:spacing w:line="360" w:lineRule="auto"/>
              <w:jc w:val="center"/>
              <w:rPr>
                <w:rFonts w:hint="default" w:ascii="Times New Roman" w:hAnsi="Times New Roman" w:cs="Times New Roman"/>
                <w:szCs w:val="21"/>
              </w:rPr>
            </w:pPr>
          </w:p>
        </w:tc>
        <w:tc>
          <w:tcPr>
            <w:tcW w:w="1272" w:type="dxa"/>
            <w:tcBorders>
              <w:top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801" w:type="dxa"/>
            <w:tcBorders>
              <w:top w:val="single" w:color="auto" w:sz="4" w:space="0"/>
              <w:right w:val="single" w:color="auto" w:sz="4" w:space="0"/>
            </w:tcBorders>
            <w:noWrap w:val="0"/>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619" w:type="dxa"/>
            <w:gridSpan w:val="2"/>
            <w:tcBorders>
              <w:left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地址</w:t>
            </w:r>
          </w:p>
        </w:tc>
        <w:tc>
          <w:tcPr>
            <w:tcW w:w="5568" w:type="dxa"/>
            <w:gridSpan w:val="8"/>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 xml:space="preserve">     市        区（县）      路（乡、镇）        号</w:t>
            </w:r>
          </w:p>
        </w:tc>
        <w:tc>
          <w:tcPr>
            <w:tcW w:w="1272" w:type="dxa"/>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邮编</w:t>
            </w:r>
          </w:p>
        </w:tc>
        <w:tc>
          <w:tcPr>
            <w:tcW w:w="1801" w:type="dxa"/>
            <w:tcBorders>
              <w:right w:val="single" w:color="auto" w:sz="4" w:space="0"/>
            </w:tcBorders>
            <w:noWrap w:val="0"/>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法定代表人或主要负责人</w:t>
            </w:r>
          </w:p>
        </w:tc>
        <w:tc>
          <w:tcPr>
            <w:tcW w:w="1116" w:type="dxa"/>
            <w:noWrap w:val="0"/>
            <w:vAlign w:val="center"/>
          </w:tcPr>
          <w:p>
            <w:pPr>
              <w:jc w:val="center"/>
              <w:rPr>
                <w:rFonts w:hint="default" w:ascii="Times New Roman" w:hAnsi="Times New Roman" w:cs="Times New Roman"/>
                <w:szCs w:val="21"/>
              </w:rPr>
            </w:pPr>
          </w:p>
        </w:tc>
        <w:tc>
          <w:tcPr>
            <w:tcW w:w="1116"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消防安全</w:t>
            </w:r>
          </w:p>
          <w:p>
            <w:pPr>
              <w:jc w:val="center"/>
              <w:rPr>
                <w:rFonts w:hint="default" w:ascii="Times New Roman" w:hAnsi="Times New Roman" w:cs="Times New Roman"/>
                <w:szCs w:val="21"/>
              </w:rPr>
            </w:pPr>
            <w:r>
              <w:rPr>
                <w:rFonts w:hint="default" w:ascii="Times New Roman" w:hAnsi="Times New Roman" w:cs="Times New Roman"/>
                <w:szCs w:val="21"/>
              </w:rPr>
              <w:t>责任人</w:t>
            </w:r>
          </w:p>
        </w:tc>
        <w:tc>
          <w:tcPr>
            <w:tcW w:w="1116" w:type="dxa"/>
            <w:noWrap w:val="0"/>
            <w:vAlign w:val="center"/>
          </w:tcPr>
          <w:p>
            <w:pPr>
              <w:jc w:val="center"/>
              <w:rPr>
                <w:rFonts w:hint="default" w:ascii="Times New Roman" w:hAnsi="Times New Roman" w:cs="Times New Roman"/>
                <w:szCs w:val="21"/>
              </w:rPr>
            </w:pPr>
          </w:p>
        </w:tc>
        <w:tc>
          <w:tcPr>
            <w:tcW w:w="1116" w:type="dxa"/>
            <w:gridSpan w:val="2"/>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消防安全</w:t>
            </w:r>
          </w:p>
          <w:p>
            <w:pPr>
              <w:jc w:val="center"/>
              <w:rPr>
                <w:rFonts w:hint="default" w:ascii="Times New Roman" w:hAnsi="Times New Roman" w:cs="Times New Roman"/>
                <w:szCs w:val="21"/>
              </w:rPr>
            </w:pPr>
            <w:r>
              <w:rPr>
                <w:rFonts w:hint="default" w:ascii="Times New Roman" w:hAnsi="Times New Roman" w:cs="Times New Roman"/>
                <w:szCs w:val="21"/>
              </w:rPr>
              <w:t>管理人</w:t>
            </w:r>
          </w:p>
        </w:tc>
        <w:tc>
          <w:tcPr>
            <w:tcW w:w="1104" w:type="dxa"/>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职工人数（人）</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有无自动</w:t>
            </w:r>
          </w:p>
          <w:p>
            <w:pPr>
              <w:jc w:val="center"/>
              <w:rPr>
                <w:rFonts w:hint="default" w:ascii="Times New Roman" w:hAnsi="Times New Roman" w:cs="Times New Roman"/>
                <w:szCs w:val="21"/>
              </w:rPr>
            </w:pPr>
            <w:r>
              <w:rPr>
                <w:rFonts w:hint="default" w:ascii="Times New Roman" w:hAnsi="Times New Roman" w:cs="Times New Roman"/>
                <w:szCs w:val="21"/>
              </w:rPr>
              <w:t>消防设施</w:t>
            </w:r>
          </w:p>
        </w:tc>
        <w:tc>
          <w:tcPr>
            <w:tcW w:w="2168" w:type="dxa"/>
            <w:gridSpan w:val="3"/>
            <w:noWrap w:val="0"/>
            <w:vAlign w:val="center"/>
          </w:tcPr>
          <w:p>
            <w:pPr>
              <w:spacing w:line="480" w:lineRule="auto"/>
              <w:ind w:firstLine="420" w:firstLineChars="20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rPr>
              <w:t>有   □无</w:t>
            </w:r>
          </w:p>
        </w:tc>
        <w:tc>
          <w:tcPr>
            <w:tcW w:w="1252"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固定资产（万元）</w:t>
            </w:r>
          </w:p>
        </w:tc>
        <w:tc>
          <w:tcPr>
            <w:tcW w:w="2148" w:type="dxa"/>
            <w:gridSpan w:val="2"/>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建筑层数</w:t>
            </w:r>
          </w:p>
        </w:tc>
        <w:tc>
          <w:tcPr>
            <w:tcW w:w="2168" w:type="dxa"/>
            <w:gridSpan w:val="3"/>
            <w:noWrap w:val="0"/>
            <w:vAlign w:val="center"/>
          </w:tcPr>
          <w:p>
            <w:pPr>
              <w:spacing w:line="480" w:lineRule="auto"/>
              <w:jc w:val="center"/>
              <w:rPr>
                <w:rFonts w:hint="default" w:ascii="Times New Roman" w:hAnsi="Times New Roman" w:cs="Times New Roman"/>
                <w:szCs w:val="21"/>
              </w:rPr>
            </w:pPr>
          </w:p>
        </w:tc>
        <w:tc>
          <w:tcPr>
            <w:tcW w:w="1252"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建筑高度</w:t>
            </w:r>
          </w:p>
          <w:p>
            <w:pPr>
              <w:jc w:val="center"/>
              <w:rPr>
                <w:rFonts w:hint="default" w:ascii="Times New Roman" w:hAnsi="Times New Roman" w:cs="Times New Roman"/>
                <w:szCs w:val="21"/>
              </w:rPr>
            </w:pPr>
            <w:r>
              <w:rPr>
                <w:rFonts w:hint="default" w:ascii="Times New Roman" w:hAnsi="Times New Roman" w:cs="Times New Roman"/>
                <w:szCs w:val="21"/>
              </w:rPr>
              <w:t>（m）</w:t>
            </w:r>
          </w:p>
        </w:tc>
        <w:tc>
          <w:tcPr>
            <w:tcW w:w="2148" w:type="dxa"/>
            <w:gridSpan w:val="2"/>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组织机构代码</w:t>
            </w:r>
          </w:p>
        </w:tc>
        <w:tc>
          <w:tcPr>
            <w:tcW w:w="2168" w:type="dxa"/>
            <w:gridSpan w:val="3"/>
            <w:noWrap w:val="0"/>
            <w:vAlign w:val="center"/>
          </w:tcPr>
          <w:p>
            <w:pPr>
              <w:spacing w:line="480" w:lineRule="auto"/>
              <w:jc w:val="center"/>
              <w:rPr>
                <w:rFonts w:hint="default" w:ascii="Times New Roman" w:hAnsi="Times New Roman" w:cs="Times New Roman"/>
                <w:szCs w:val="21"/>
              </w:rPr>
            </w:pPr>
          </w:p>
        </w:tc>
        <w:tc>
          <w:tcPr>
            <w:tcW w:w="1252"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单位成立时间</w:t>
            </w:r>
          </w:p>
        </w:tc>
        <w:tc>
          <w:tcPr>
            <w:tcW w:w="2148" w:type="dxa"/>
            <w:gridSpan w:val="2"/>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上级主管</w:t>
            </w:r>
          </w:p>
          <w:p>
            <w:pPr>
              <w:jc w:val="center"/>
              <w:rPr>
                <w:rFonts w:hint="default" w:ascii="Times New Roman" w:hAnsi="Times New Roman" w:cs="Times New Roman"/>
                <w:szCs w:val="21"/>
              </w:rPr>
            </w:pPr>
            <w:r>
              <w:rPr>
                <w:rFonts w:hint="default" w:ascii="Times New Roman" w:hAnsi="Times New Roman" w:cs="Times New Roman"/>
                <w:szCs w:val="21"/>
              </w:rPr>
              <w:t>部门</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19" w:type="dxa"/>
            <w:gridSpan w:val="2"/>
            <w:tcBorders>
              <w:left w:val="single" w:color="auto" w:sz="4" w:space="0"/>
            </w:tcBorders>
            <w:noWrap w:val="0"/>
            <w:vAlign w:val="center"/>
          </w:tcPr>
          <w:p>
            <w:pPr>
              <w:spacing w:line="480" w:lineRule="auto"/>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8641" w:type="dxa"/>
            <w:gridSpan w:val="10"/>
            <w:tcBorders>
              <w:right w:val="single" w:color="auto" w:sz="4" w:space="0"/>
            </w:tcBorders>
            <w:noWrap w:val="0"/>
            <w:vAlign w:val="top"/>
          </w:tcPr>
          <w:p>
            <w:pPr>
              <w:ind w:firstLine="210" w:firstLineChars="100"/>
              <w:rPr>
                <w:rFonts w:hint="default" w:ascii="Times New Roman" w:hAnsi="Times New Roman" w:cs="Times New Roman"/>
                <w:szCs w:val="21"/>
              </w:rPr>
            </w:pPr>
            <w:r>
              <w:rPr>
                <w:rFonts w:hint="default" w:ascii="Times New Roman" w:hAnsi="Times New Roman" w:cs="Times New Roman"/>
                <w:szCs w:val="21"/>
              </w:rPr>
              <w:t>□机关      □团体       □事业      □国有企业     □集体企业     □私营企业</w:t>
            </w:r>
          </w:p>
          <w:p>
            <w:pPr>
              <w:ind w:firstLine="210" w:firstLineChars="100"/>
              <w:rPr>
                <w:rFonts w:hint="default" w:ascii="Times New Roman" w:hAnsi="Times New Roman" w:cs="Times New Roman"/>
                <w:szCs w:val="21"/>
              </w:rPr>
            </w:pPr>
            <w:r>
              <w:rPr>
                <w:rFonts w:hint="default" w:ascii="Times New Roman" w:hAnsi="Times New Roman" w:cs="Times New Roman"/>
                <w:szCs w:val="21"/>
              </w:rPr>
              <w:t>□联营企业  □股份制企业    □外商投资企业     □港澳台投资企业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9" w:type="dxa"/>
            <w:vMerge w:val="restart"/>
            <w:tcBorders>
              <w:left w:val="single" w:color="auto" w:sz="4" w:space="0"/>
            </w:tcBorders>
            <w:noWrap w:val="0"/>
            <w:vAlign w:val="top"/>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登</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记</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单</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位</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类</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别</w:t>
            </w:r>
          </w:p>
        </w:tc>
        <w:tc>
          <w:tcPr>
            <w:tcW w:w="2342" w:type="dxa"/>
            <w:gridSpan w:val="3"/>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主 类</w:t>
            </w:r>
          </w:p>
        </w:tc>
        <w:tc>
          <w:tcPr>
            <w:tcW w:w="7379" w:type="dxa"/>
            <w:gridSpan w:val="8"/>
            <w:tcBorders>
              <w:right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分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default" w:ascii="Times New Roman" w:hAnsi="Times New Roman" w:cs="Times New Roman"/>
                <w:szCs w:val="21"/>
              </w:rPr>
            </w:pPr>
          </w:p>
          <w:p>
            <w:pPr>
              <w:spacing w:line="288" w:lineRule="auto"/>
              <w:rPr>
                <w:rFonts w:hint="default" w:ascii="Times New Roman" w:hAnsi="Times New Roman" w:cs="Times New Roman"/>
                <w:szCs w:val="21"/>
              </w:rPr>
            </w:pPr>
            <w:r>
              <w:rPr>
                <w:rFonts w:hint="default" w:ascii="Times New Roman" w:hAnsi="Times New Roman" w:cs="Times New Roman"/>
                <w:szCs w:val="21"/>
              </w:rPr>
              <w:t>□ 1、商场（市场）、宾馆（饭店）、体育场（馆）、会堂、公共娱乐场所等公众聚集场所</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1. 1 </w:t>
            </w:r>
            <w:r>
              <w:rPr>
                <w:rFonts w:hint="default" w:ascii="Times New Roman" w:hAnsi="Times New Roman" w:cs="Times New Roman"/>
                <w:szCs w:val="21"/>
                <w:lang w:val="en-US" w:eastAsia="zh-CN"/>
              </w:rPr>
              <w:t>建筑面积在1500平方米以上、5000平方米以下；以及设置于地下、半地下建筑面积在1000平方米以上、2500平方米以下、</w:t>
            </w:r>
            <w:r>
              <w:rPr>
                <w:rFonts w:hint="default" w:ascii="Times New Roman" w:hAnsi="Times New Roman" w:cs="Times New Roman"/>
                <w:szCs w:val="21"/>
              </w:rPr>
              <w:t>且经营可燃商品的商场（商店、市场）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1. 2 </w:t>
            </w:r>
            <w:r>
              <w:rPr>
                <w:rFonts w:hint="default" w:ascii="Times New Roman" w:hAnsi="Times New Roman" w:cs="Times New Roman"/>
                <w:szCs w:val="21"/>
                <w:lang w:val="en-US" w:eastAsia="zh-CN"/>
              </w:rPr>
              <w:t>总建筑面积在10000平方米以上、20000平方米以下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1. 3 旅馆、招待所客房数在</w:t>
            </w:r>
            <w:r>
              <w:rPr>
                <w:rFonts w:hint="eastAsia" w:cs="Times New Roman"/>
                <w:szCs w:val="21"/>
                <w:lang w:val="en-US" w:eastAsia="zh-CN"/>
              </w:rPr>
              <w:t>3</w:t>
            </w:r>
            <w:r>
              <w:rPr>
                <w:rFonts w:hint="default" w:ascii="Times New Roman" w:hAnsi="Times New Roman" w:cs="Times New Roman"/>
                <w:szCs w:val="21"/>
              </w:rPr>
              <w:t>0间以上</w:t>
            </w:r>
            <w:r>
              <w:rPr>
                <w:rFonts w:hint="eastAsia" w:cs="Times New Roman"/>
                <w:szCs w:val="21"/>
                <w:lang w:eastAsia="zh-CN"/>
              </w:rPr>
              <w:t>、</w:t>
            </w:r>
            <w:r>
              <w:rPr>
                <w:rFonts w:hint="eastAsia" w:cs="Times New Roman"/>
                <w:szCs w:val="21"/>
                <w:lang w:val="en-US" w:eastAsia="zh-CN"/>
              </w:rPr>
              <w:t>150间以下</w:t>
            </w:r>
            <w:r>
              <w:rPr>
                <w:rFonts w:hint="default" w:ascii="Times New Roman" w:hAnsi="Times New Roman" w:cs="Times New Roman"/>
                <w:szCs w:val="21"/>
              </w:rPr>
              <w:t>，以及设置于地下、半地下客房数在</w:t>
            </w:r>
            <w:r>
              <w:rPr>
                <w:rFonts w:hint="eastAsia" w:cs="Times New Roman"/>
                <w:szCs w:val="21"/>
                <w:lang w:val="en-US" w:eastAsia="zh-CN"/>
              </w:rPr>
              <w:t>15</w:t>
            </w:r>
            <w:r>
              <w:rPr>
                <w:rFonts w:hint="default" w:ascii="Times New Roman" w:hAnsi="Times New Roman" w:cs="Times New Roman"/>
                <w:szCs w:val="21"/>
              </w:rPr>
              <w:t>间以上</w:t>
            </w:r>
            <w:r>
              <w:rPr>
                <w:rFonts w:hint="default" w:ascii="Times New Roman" w:hAnsi="Times New Roman" w:cs="Times New Roman"/>
                <w:szCs w:val="21"/>
                <w:lang w:val="en-US" w:eastAsia="zh-CN"/>
              </w:rPr>
              <w:t>、50间以下</w:t>
            </w:r>
            <w:r>
              <w:rPr>
                <w:rFonts w:hint="default" w:ascii="Times New Roman" w:hAnsi="Times New Roman" w:cs="Times New Roman"/>
                <w:szCs w:val="21"/>
              </w:rPr>
              <w:t>；民宿、青旅、客栈床位数</w:t>
            </w:r>
            <w:r>
              <w:rPr>
                <w:rFonts w:hint="eastAsia" w:cs="Times New Roman"/>
                <w:szCs w:val="21"/>
                <w:lang w:val="en-US" w:eastAsia="zh-CN"/>
              </w:rPr>
              <w:t>6</w:t>
            </w:r>
            <w:r>
              <w:rPr>
                <w:rFonts w:hint="default" w:ascii="Times New Roman" w:hAnsi="Times New Roman" w:cs="Times New Roman"/>
                <w:szCs w:val="21"/>
              </w:rPr>
              <w:t>0张床位以上的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1. 4 县级公共体育场（馆）、会堂。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1. 5 场所建筑面积</w:t>
            </w:r>
            <w:r>
              <w:rPr>
                <w:rFonts w:hint="default" w:ascii="Times New Roman" w:hAnsi="Times New Roman" w:cs="Times New Roman"/>
                <w:szCs w:val="21"/>
                <w:lang w:val="en-US" w:eastAsia="zh-CN"/>
              </w:rPr>
              <w:t>在400平方米以上、3000平方米以下</w:t>
            </w:r>
            <w:r>
              <w:rPr>
                <w:rFonts w:hint="default" w:ascii="Times New Roman" w:hAnsi="Times New Roman" w:cs="Times New Roman"/>
                <w:szCs w:val="21"/>
              </w:rPr>
              <w:t>的歌舞、游艺、放映、休闲等公共娱乐场所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spacing w:line="288" w:lineRule="auto"/>
              <w:rPr>
                <w:rFonts w:hint="default" w:ascii="Times New Roman" w:hAnsi="Times New Roman" w:cs="Times New Roman"/>
                <w:szCs w:val="21"/>
              </w:rPr>
            </w:pPr>
            <w:r>
              <w:rPr>
                <w:rFonts w:hint="default" w:ascii="Times New Roman" w:hAnsi="Times New Roman" w:cs="Times New Roman"/>
                <w:szCs w:val="21"/>
              </w:rPr>
              <w:t>□ 2、医院、特困供养中心、儿童福利院、产后恢复场所、医养结合场所和学校、托儿所、幼儿园</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2. 1 住院床位在</w:t>
            </w:r>
            <w:r>
              <w:rPr>
                <w:rFonts w:hint="default" w:ascii="Times New Roman" w:hAnsi="Times New Roman" w:cs="Times New Roman"/>
                <w:szCs w:val="21"/>
                <w:lang w:val="en-US" w:eastAsia="zh-CN"/>
              </w:rPr>
              <w:t>40张以上、200张以下</w:t>
            </w:r>
            <w:r>
              <w:rPr>
                <w:rFonts w:hint="default" w:ascii="Times New Roman" w:hAnsi="Times New Roman" w:cs="Times New Roman"/>
                <w:szCs w:val="21"/>
              </w:rPr>
              <w:t>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2. 2 住宿床位在</w:t>
            </w:r>
            <w:r>
              <w:rPr>
                <w:rFonts w:hint="default" w:ascii="Times New Roman" w:hAnsi="Times New Roman" w:cs="Times New Roman"/>
                <w:szCs w:val="21"/>
                <w:lang w:val="en-US" w:eastAsia="zh-CN"/>
              </w:rPr>
              <w:t>30张以上、200张以下</w:t>
            </w:r>
            <w:r>
              <w:rPr>
                <w:rFonts w:hint="default" w:ascii="Times New Roman" w:hAnsi="Times New Roman" w:cs="Times New Roman"/>
                <w:szCs w:val="21"/>
              </w:rPr>
              <w:t>的特困供养中心、儿童福利院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2. 3 住宿床位在</w:t>
            </w:r>
            <w:r>
              <w:rPr>
                <w:rFonts w:hint="default" w:ascii="Times New Roman" w:hAnsi="Times New Roman" w:cs="Times New Roman"/>
                <w:szCs w:val="21"/>
                <w:lang w:val="en-US" w:eastAsia="zh-CN"/>
              </w:rPr>
              <w:t>30张以上、200张以下</w:t>
            </w:r>
            <w:r>
              <w:rPr>
                <w:rFonts w:hint="default" w:ascii="Times New Roman" w:hAnsi="Times New Roman" w:cs="Times New Roman"/>
                <w:szCs w:val="21"/>
              </w:rPr>
              <w:t>的产后恢复服务场所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2. 4 住宿床位在</w:t>
            </w:r>
            <w:r>
              <w:rPr>
                <w:rFonts w:hint="default" w:ascii="Times New Roman" w:hAnsi="Times New Roman" w:cs="Times New Roman"/>
                <w:szCs w:val="21"/>
                <w:lang w:val="en-US" w:eastAsia="zh-CN"/>
              </w:rPr>
              <w:t>30张以上、200张以下</w:t>
            </w:r>
            <w:r>
              <w:rPr>
                <w:rFonts w:hint="default" w:ascii="Times New Roman" w:hAnsi="Times New Roman" w:cs="Times New Roman"/>
                <w:szCs w:val="21"/>
              </w:rPr>
              <w:t>的医养结合场所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2. </w:t>
            </w:r>
            <w:r>
              <w:rPr>
                <w:rFonts w:hint="default" w:ascii="Times New Roman" w:hAnsi="Times New Roman" w:cs="Times New Roman"/>
                <w:szCs w:val="21"/>
                <w:lang w:val="en-US" w:eastAsia="zh-CN"/>
              </w:rPr>
              <w:t>5</w:t>
            </w:r>
            <w:r>
              <w:rPr>
                <w:rFonts w:hint="default" w:ascii="Times New Roman" w:hAnsi="Times New Roman" w:cs="Times New Roman"/>
                <w:szCs w:val="21"/>
              </w:rPr>
              <w:t xml:space="preserve"> 住宿人数在</w:t>
            </w:r>
            <w:r>
              <w:rPr>
                <w:rFonts w:hint="default" w:ascii="Times New Roman" w:hAnsi="Times New Roman" w:cs="Times New Roman"/>
                <w:szCs w:val="21"/>
                <w:lang w:val="en-US" w:eastAsia="zh-CN"/>
              </w:rPr>
              <w:t>50人以上、300人以下的寄宿制小学，住宿人数在200人以上、500人以下的其他寄宿制学校以及学生人数在800人以上、1000人以下的非寄宿制学校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2. </w:t>
            </w:r>
            <w:r>
              <w:rPr>
                <w:rFonts w:hint="default" w:ascii="Times New Roman" w:hAnsi="Times New Roman" w:cs="Times New Roman"/>
                <w:szCs w:val="21"/>
                <w:lang w:val="en-US" w:eastAsia="zh-CN"/>
              </w:rPr>
              <w:t>6</w:t>
            </w:r>
            <w:r>
              <w:rPr>
                <w:rFonts w:hint="default" w:ascii="Times New Roman" w:hAnsi="Times New Roman" w:cs="Times New Roman"/>
                <w:szCs w:val="21"/>
              </w:rPr>
              <w:t xml:space="preserve"> </w:t>
            </w:r>
            <w:r>
              <w:rPr>
                <w:rFonts w:hint="default" w:ascii="Times New Roman" w:hAnsi="Times New Roman" w:cs="Times New Roman"/>
                <w:szCs w:val="21"/>
                <w:lang w:val="en-US" w:eastAsia="zh-CN"/>
              </w:rPr>
              <w:t>住宿人数在50人以上、100人以下的寄宿制托儿所、幼儿园和特殊教育学校，入托、入幼和入学人数在300人以上、500人以下的非寄宿制托儿所、幼儿园和特殊教育学校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noWrap w:val="0"/>
            <w:vAlign w:val="center"/>
          </w:tcPr>
          <w:p>
            <w:pPr>
              <w:spacing w:line="480" w:lineRule="auto"/>
              <w:rPr>
                <w:rFonts w:hint="default" w:ascii="Times New Roman" w:hAnsi="Times New Roman" w:cs="Times New Roman"/>
                <w:szCs w:val="21"/>
              </w:rPr>
            </w:pPr>
            <w:r>
              <w:rPr>
                <w:rFonts w:hint="default" w:ascii="Times New Roman" w:hAnsi="Times New Roman" w:cs="Times New Roman"/>
                <w:szCs w:val="21"/>
              </w:rPr>
              <w:t>□ 3、国家机关</w:t>
            </w:r>
          </w:p>
        </w:tc>
        <w:tc>
          <w:tcPr>
            <w:tcW w:w="7379" w:type="dxa"/>
            <w:gridSpan w:val="8"/>
            <w:tcBorders>
              <w:right w:val="single" w:color="auto" w:sz="4" w:space="0"/>
            </w:tcBorders>
            <w:noWrap w:val="0"/>
            <w:vAlign w:val="center"/>
          </w:tcPr>
          <w:p>
            <w:pPr>
              <w:jc w:val="both"/>
              <w:rPr>
                <w:rFonts w:hint="default" w:ascii="Times New Roman" w:hAnsi="Times New Roman" w:cs="Times New Roman"/>
                <w:szCs w:val="21"/>
              </w:rPr>
            </w:pPr>
            <w:r>
              <w:rPr>
                <w:rFonts w:hint="default" w:ascii="Times New Roman" w:hAnsi="Times New Roman" w:cs="Times New Roman"/>
                <w:szCs w:val="21"/>
              </w:rPr>
              <w:t>□ 3. 1 县级党委、人大、政府、政协机关办公场所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default" w:ascii="Times New Roman" w:hAnsi="Times New Roman" w:cs="Times New Roman"/>
                <w:szCs w:val="21"/>
              </w:rPr>
            </w:pPr>
            <w:r>
              <w:rPr>
                <w:rFonts w:hint="default" w:ascii="Times New Roman" w:hAnsi="Times New Roman" w:cs="Times New Roman"/>
                <w:szCs w:val="21"/>
              </w:rPr>
              <w:t>□ 4、广播电台、电视台和邮政、通信枢纽</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4 .1 县级广播电台、电视台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4. 2 县级的邮政和通信枢纽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4. </w:t>
            </w:r>
            <w:r>
              <w:rPr>
                <w:rFonts w:hint="default" w:ascii="Times New Roman" w:hAnsi="Times New Roman" w:cs="Times New Roman"/>
                <w:szCs w:val="21"/>
                <w:lang w:val="en-US" w:eastAsia="zh-CN"/>
              </w:rPr>
              <w:t>3</w:t>
            </w:r>
            <w:r>
              <w:rPr>
                <w:rFonts w:hint="default" w:ascii="Times New Roman" w:hAnsi="Times New Roman" w:cs="Times New Roman"/>
                <w:szCs w:val="21"/>
              </w:rPr>
              <w:t xml:space="preserve"> 县级或处理</w:t>
            </w:r>
            <w:r>
              <w:rPr>
                <w:rFonts w:hint="eastAsia" w:cs="Times New Roman"/>
                <w:szCs w:val="21"/>
                <w:lang w:eastAsia="zh-CN"/>
              </w:rPr>
              <w:t>县级</w:t>
            </w:r>
            <w:r>
              <w:rPr>
                <w:rFonts w:hint="default" w:ascii="Times New Roman" w:hAnsi="Times New Roman" w:cs="Times New Roman"/>
                <w:szCs w:val="21"/>
              </w:rPr>
              <w:t>数据的设有机房的数据处理中心等其他高新产业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noWrap w:val="0"/>
            <w:vAlign w:val="center"/>
          </w:tcPr>
          <w:p>
            <w:pPr>
              <w:rPr>
                <w:rFonts w:hint="default" w:ascii="Times New Roman" w:hAnsi="Times New Roman" w:cs="Times New Roman"/>
                <w:szCs w:val="21"/>
              </w:rPr>
            </w:pPr>
            <w:r>
              <w:rPr>
                <w:rFonts w:hint="default" w:ascii="Times New Roman" w:hAnsi="Times New Roman" w:cs="Times New Roman"/>
                <w:szCs w:val="21"/>
              </w:rPr>
              <w:t>□ 5、客运车站</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5. 1 县级客运车站的候车厅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eastAsia" w:ascii="Times New Roman" w:hAnsi="Times New Roman" w:eastAsia="宋体" w:cs="Times New Roman"/>
                <w:szCs w:val="21"/>
                <w:lang w:eastAsia="zh-CN"/>
              </w:rPr>
            </w:pPr>
            <w:r>
              <w:rPr>
                <w:rFonts w:hint="default" w:ascii="Times New Roman" w:hAnsi="Times New Roman" w:cs="Times New Roman"/>
                <w:szCs w:val="21"/>
              </w:rPr>
              <w:t>□ 6、公共图书馆、展览馆、博物馆、档案馆以及具有火灾危险性的文物</w:t>
            </w:r>
            <w:r>
              <w:rPr>
                <w:rFonts w:hint="eastAsia" w:cs="Times New Roman"/>
                <w:szCs w:val="21"/>
                <w:lang w:eastAsia="zh-CN"/>
              </w:rPr>
              <w:t>古建筑</w:t>
            </w:r>
          </w:p>
        </w:tc>
        <w:tc>
          <w:tcPr>
            <w:tcW w:w="7379" w:type="dxa"/>
            <w:gridSpan w:val="8"/>
            <w:tcBorders>
              <w:right w:val="single" w:color="auto" w:sz="4" w:space="0"/>
            </w:tcBorders>
            <w:noWrap w:val="0"/>
            <w:vAlign w:val="top"/>
          </w:tcPr>
          <w:p>
            <w:pPr>
              <w:spacing w:line="312" w:lineRule="auto"/>
              <w:rPr>
                <w:rFonts w:hint="default" w:ascii="Times New Roman" w:hAnsi="Times New Roman" w:cs="Times New Roman"/>
                <w:szCs w:val="21"/>
              </w:rPr>
            </w:pPr>
            <w:r>
              <w:rPr>
                <w:rFonts w:hint="default" w:ascii="Times New Roman" w:hAnsi="Times New Roman" w:cs="Times New Roman"/>
                <w:szCs w:val="21"/>
              </w:rPr>
              <w:t xml:space="preserve">□ 6. 1 </w:t>
            </w:r>
            <w:r>
              <w:rPr>
                <w:rFonts w:hint="default" w:ascii="Times New Roman" w:hAnsi="Times New Roman" w:cs="Times New Roman"/>
                <w:szCs w:val="21"/>
                <w:lang w:val="en-US" w:eastAsia="zh-CN"/>
              </w:rPr>
              <w:t>建筑面积在1000平方米以上、2500平方米以下</w:t>
            </w:r>
            <w:r>
              <w:rPr>
                <w:rFonts w:hint="default" w:ascii="Times New Roman" w:hAnsi="Times New Roman" w:cs="Times New Roman"/>
                <w:szCs w:val="21"/>
              </w:rPr>
              <w:t>的公共图书馆、展览馆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spacing w:line="312" w:lineRule="auto"/>
              <w:rPr>
                <w:rFonts w:hint="default" w:ascii="Times New Roman" w:hAnsi="Times New Roman" w:cs="Times New Roman"/>
                <w:szCs w:val="21"/>
              </w:rPr>
            </w:pPr>
            <w:r>
              <w:rPr>
                <w:rFonts w:hint="default" w:ascii="Times New Roman" w:hAnsi="Times New Roman" w:cs="Times New Roman"/>
                <w:szCs w:val="21"/>
              </w:rPr>
              <w:t>□ 6 .2 县级的公共博物馆、档案馆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spacing w:line="312" w:lineRule="auto"/>
              <w:rPr>
                <w:rFonts w:hint="default" w:ascii="Times New Roman" w:hAnsi="Times New Roman" w:cs="Times New Roman"/>
                <w:szCs w:val="21"/>
              </w:rPr>
            </w:pPr>
            <w:r>
              <w:rPr>
                <w:rFonts w:hint="default" w:ascii="Times New Roman" w:hAnsi="Times New Roman" w:cs="Times New Roman"/>
                <w:szCs w:val="21"/>
              </w:rPr>
              <w:t xml:space="preserve">□ 6. 3 </w:t>
            </w:r>
            <w:r>
              <w:rPr>
                <w:rFonts w:hint="default" w:ascii="Times New Roman" w:hAnsi="Times New Roman" w:cs="Times New Roman"/>
                <w:szCs w:val="21"/>
                <w:lang w:val="en-US" w:eastAsia="zh-CN"/>
              </w:rPr>
              <w:t>具有火灾危险性的县级以上文物古建筑（不包括火灾危险性相对较小的古遗址、古墓葬、石窟寺、石刻、寺观塔幢等）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default" w:ascii="Times New Roman" w:hAnsi="Times New Roman" w:cs="Times New Roman"/>
                <w:szCs w:val="21"/>
              </w:rPr>
            </w:pPr>
            <w:r>
              <w:rPr>
                <w:rFonts w:hint="default" w:ascii="Times New Roman" w:hAnsi="Times New Roman" w:cs="Times New Roman"/>
                <w:szCs w:val="21"/>
              </w:rPr>
              <w:t>□ 7、发电厂（站）和电网经营企业</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7. 1 县级承担电力调度功能的供电场所或中心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7. 2 火力发电厂，装机容量300MW及以上的水电枢纽工程以及枢纽变电站、区域变电站、地区变电站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7. </w:t>
            </w:r>
            <w:r>
              <w:rPr>
                <w:rFonts w:hint="default" w:ascii="Times New Roman" w:hAnsi="Times New Roman" w:cs="Times New Roman"/>
                <w:szCs w:val="21"/>
                <w:lang w:val="en-US" w:eastAsia="zh-CN"/>
              </w:rPr>
              <w:t>3</w:t>
            </w:r>
            <w:r>
              <w:rPr>
                <w:rFonts w:hint="default" w:ascii="Times New Roman" w:hAnsi="Times New Roman" w:cs="Times New Roman"/>
                <w:szCs w:val="21"/>
              </w:rPr>
              <w:t xml:space="preserve"> 装机容量200MW以上</w:t>
            </w:r>
            <w:r>
              <w:rPr>
                <w:rFonts w:hint="default" w:ascii="Times New Roman" w:hAnsi="Times New Roman" w:cs="Times New Roman"/>
                <w:szCs w:val="21"/>
                <w:lang w:val="en-US" w:eastAsia="zh-CN"/>
              </w:rPr>
              <w:t>、500MW以下</w:t>
            </w:r>
            <w:r>
              <w:rPr>
                <w:rFonts w:hint="default" w:ascii="Times New Roman" w:hAnsi="Times New Roman" w:cs="Times New Roman"/>
                <w:szCs w:val="21"/>
              </w:rPr>
              <w:t>的光伏发电站、储能电站、风力发电站，装机容量50MW以上</w:t>
            </w:r>
            <w:r>
              <w:rPr>
                <w:rFonts w:hint="default" w:ascii="Times New Roman" w:hAnsi="Times New Roman" w:cs="Times New Roman"/>
                <w:szCs w:val="21"/>
                <w:lang w:val="en-US" w:eastAsia="zh-CN"/>
              </w:rPr>
              <w:t>、200MW以下</w:t>
            </w:r>
            <w:r>
              <w:rPr>
                <w:rFonts w:hint="default" w:ascii="Times New Roman" w:hAnsi="Times New Roman" w:cs="Times New Roman"/>
                <w:szCs w:val="21"/>
              </w:rPr>
              <w:t>的光热发电站，装机容量10MW以上</w:t>
            </w:r>
            <w:r>
              <w:rPr>
                <w:rFonts w:hint="eastAsia" w:cs="Times New Roman"/>
                <w:szCs w:val="21"/>
                <w:lang w:eastAsia="zh-CN"/>
              </w:rPr>
              <w:t>、</w:t>
            </w:r>
            <w:r>
              <w:rPr>
                <w:rFonts w:hint="default" w:ascii="Times New Roman" w:hAnsi="Times New Roman" w:cs="Times New Roman"/>
                <w:szCs w:val="21"/>
                <w:lang w:val="en-US" w:eastAsia="zh-CN"/>
              </w:rPr>
              <w:t>20MW以下</w:t>
            </w:r>
            <w:r>
              <w:rPr>
                <w:rFonts w:hint="default" w:ascii="Times New Roman" w:hAnsi="Times New Roman" w:cs="Times New Roman"/>
                <w:szCs w:val="21"/>
              </w:rPr>
              <w:t>的储能电站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top"/>
          </w:tcPr>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8、易燃易爆化学物品的生产、充装、储存、供应、销售单位</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8. 1 </w:t>
            </w:r>
            <w:r>
              <w:rPr>
                <w:rFonts w:hint="default" w:ascii="Times New Roman" w:hAnsi="Times New Roman" w:cs="Times New Roman"/>
                <w:szCs w:val="21"/>
                <w:lang w:val="en-US" w:eastAsia="zh-CN"/>
              </w:rPr>
              <w:t>储量在150立方米以下</w:t>
            </w:r>
            <w:r>
              <w:rPr>
                <w:rFonts w:hint="default" w:ascii="Times New Roman" w:hAnsi="Times New Roman" w:cs="Times New Roman"/>
                <w:szCs w:val="21"/>
              </w:rPr>
              <w:t>生产、储存、装卸易燃易爆化学物品的工厂、专用仓库（堆场、储罐场所）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8. 2 </w:t>
            </w:r>
            <w:r>
              <w:rPr>
                <w:rFonts w:hint="default" w:ascii="Times New Roman" w:hAnsi="Times New Roman" w:cs="Times New Roman"/>
                <w:szCs w:val="21"/>
                <w:lang w:val="en-US" w:eastAsia="zh-CN"/>
              </w:rPr>
              <w:t>储量在150立方米以下</w:t>
            </w:r>
            <w:r>
              <w:rPr>
                <w:rFonts w:hint="default" w:ascii="Times New Roman" w:hAnsi="Times New Roman" w:cs="Times New Roman"/>
                <w:szCs w:val="21"/>
              </w:rPr>
              <w:t>易燃易爆气体和液体的充装站、供应站、调压站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8. 3 </w:t>
            </w:r>
            <w:r>
              <w:rPr>
                <w:rFonts w:hint="default" w:ascii="Times New Roman" w:hAnsi="Times New Roman" w:cs="Times New Roman"/>
                <w:szCs w:val="21"/>
                <w:lang w:val="en-US" w:eastAsia="zh-CN"/>
              </w:rPr>
              <w:t>储量在150立方米以下</w:t>
            </w:r>
            <w:r>
              <w:rPr>
                <w:rFonts w:hint="default" w:ascii="Times New Roman" w:hAnsi="Times New Roman" w:cs="Times New Roman"/>
                <w:szCs w:val="21"/>
              </w:rPr>
              <w:t>营业性汽车加油站、加气站、加油加气合建站，液化石油气供应站（换瓶站）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539" w:type="dxa"/>
            <w:vMerge w:val="restart"/>
            <w:noWrap w:val="0"/>
            <w:vAlign w:val="top"/>
          </w:tcPr>
          <w:p>
            <w:pPr>
              <w:rPr>
                <w:rFonts w:hint="default" w:ascii="Times New Roman" w:hAnsi="Times New Roman" w:cs="Times New Roman"/>
                <w:sz w:val="36"/>
                <w:szCs w:val="36"/>
              </w:rPr>
            </w:pPr>
          </w:p>
        </w:tc>
        <w:tc>
          <w:tcPr>
            <w:tcW w:w="2342" w:type="dxa"/>
            <w:gridSpan w:val="3"/>
            <w:noWrap w:val="0"/>
            <w:vAlign w:val="center"/>
          </w:tcPr>
          <w:p>
            <w:pPr>
              <w:rPr>
                <w:rFonts w:hint="default" w:ascii="Times New Roman" w:hAnsi="Times New Roman" w:cs="Times New Roman"/>
                <w:sz w:val="36"/>
                <w:szCs w:val="36"/>
              </w:rPr>
            </w:pPr>
            <w:r>
              <w:rPr>
                <w:rFonts w:hint="default" w:ascii="Times New Roman" w:hAnsi="Times New Roman" w:cs="Times New Roman"/>
                <w:szCs w:val="21"/>
                <w:lang w:eastAsia="zh-CN"/>
              </w:rPr>
              <w:t>□</w:t>
            </w:r>
            <w:r>
              <w:rPr>
                <w:rFonts w:hint="default" w:ascii="Times New Roman" w:hAnsi="Times New Roman" w:cs="Times New Roman"/>
                <w:szCs w:val="21"/>
              </w:rPr>
              <w:t xml:space="preserve"> 9、劳动密集型生产、加工企业</w:t>
            </w:r>
          </w:p>
        </w:tc>
        <w:tc>
          <w:tcPr>
            <w:tcW w:w="7379" w:type="dxa"/>
            <w:gridSpan w:val="8"/>
            <w:noWrap w:val="0"/>
            <w:vAlign w:val="center"/>
          </w:tcPr>
          <w:p>
            <w:pPr>
              <w:rPr>
                <w:rFonts w:hint="default" w:ascii="Times New Roman" w:hAnsi="Times New Roman" w:cs="Times New Roman"/>
                <w:szCs w:val="21"/>
              </w:rPr>
            </w:pPr>
            <w:r>
              <w:rPr>
                <w:rFonts w:hint="eastAsia" w:cs="Times New Roman"/>
                <w:szCs w:val="21"/>
                <w:lang w:eastAsia="zh-CN"/>
              </w:rPr>
              <w:t>□</w:t>
            </w:r>
            <w:r>
              <w:rPr>
                <w:rFonts w:hint="default" w:ascii="Times New Roman" w:hAnsi="Times New Roman" w:cs="Times New Roman"/>
                <w:szCs w:val="21"/>
              </w:rPr>
              <w:t xml:space="preserve"> 9. 1</w:t>
            </w:r>
            <w:r>
              <w:rPr>
                <w:rFonts w:hint="default" w:ascii="Times New Roman" w:hAnsi="Times New Roman" w:cs="Times New Roman"/>
                <w:szCs w:val="21"/>
                <w:lang w:val="en-US" w:eastAsia="zh-CN"/>
              </w:rPr>
              <w:t>企业员工总数在100人以上、</w:t>
            </w:r>
            <w:r>
              <w:rPr>
                <w:rFonts w:hint="eastAsia" w:ascii="Times New Roman" w:hAnsi="Times New Roman" w:cs="Times New Roman"/>
                <w:szCs w:val="21"/>
                <w:lang w:val="en-US" w:eastAsia="zh-CN"/>
              </w:rPr>
              <w:t>2</w:t>
            </w:r>
            <w:r>
              <w:rPr>
                <w:rFonts w:hint="default" w:ascii="Times New Roman" w:hAnsi="Times New Roman" w:cs="Times New Roman"/>
                <w:szCs w:val="21"/>
                <w:lang w:val="en-US" w:eastAsia="zh-CN"/>
              </w:rPr>
              <w:t>00人以下</w:t>
            </w:r>
            <w:r>
              <w:rPr>
                <w:rFonts w:hint="eastAsia" w:ascii="Times New Roman" w:hAnsi="Times New Roman" w:cs="Times New Roman"/>
                <w:szCs w:val="21"/>
                <w:lang w:val="en-US" w:eastAsia="zh-CN"/>
              </w:rPr>
              <w:t>，以及同一时间段车间内员工数在30人以上、60人以下</w:t>
            </w:r>
            <w:r>
              <w:rPr>
                <w:rFonts w:hint="default" w:ascii="Times New Roman" w:hAnsi="Times New Roman" w:cs="Times New Roman"/>
                <w:szCs w:val="21"/>
              </w:rPr>
              <w:t>的服装、鞋帽、玩具</w:t>
            </w:r>
            <w:r>
              <w:rPr>
                <w:rFonts w:hint="default" w:ascii="Times New Roman" w:hAnsi="Times New Roman" w:cs="Times New Roman"/>
                <w:szCs w:val="21"/>
                <w:lang w:val="en-US" w:eastAsia="zh-CN"/>
              </w:rPr>
              <w:t>、旅游制品、木制品、家具、塑料、食品加工和纺织、印染、印刷</w:t>
            </w:r>
            <w:r>
              <w:rPr>
                <w:rFonts w:hint="default" w:ascii="Times New Roman" w:hAnsi="Times New Roman" w:cs="Times New Roman"/>
                <w:szCs w:val="21"/>
              </w:rPr>
              <w:t>等劳动密集型企业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noWrap w:val="0"/>
            <w:vAlign w:val="center"/>
          </w:tcPr>
          <w:p>
            <w:pPr>
              <w:jc w:val="both"/>
              <w:rPr>
                <w:rFonts w:hint="default" w:ascii="Times New Roman" w:hAnsi="Times New Roman" w:cs="Times New Roman"/>
                <w:sz w:val="36"/>
                <w:szCs w:val="36"/>
              </w:rPr>
            </w:pPr>
            <w:r>
              <w:rPr>
                <w:rFonts w:hint="eastAsia" w:cs="Times New Roman"/>
                <w:szCs w:val="21"/>
                <w:lang w:eastAsia="zh-CN"/>
              </w:rPr>
              <w:t>□</w:t>
            </w:r>
            <w:r>
              <w:rPr>
                <w:rFonts w:hint="default" w:ascii="Times New Roman" w:hAnsi="Times New Roman" w:cs="Times New Roman"/>
                <w:szCs w:val="21"/>
              </w:rPr>
              <w:t xml:space="preserve"> 10、重要的科研单位</w:t>
            </w:r>
          </w:p>
        </w:tc>
        <w:tc>
          <w:tcPr>
            <w:tcW w:w="7379" w:type="dxa"/>
            <w:gridSpan w:val="8"/>
            <w:noWrap w:val="0"/>
            <w:vAlign w:val="center"/>
          </w:tcPr>
          <w:p>
            <w:pPr>
              <w:jc w:val="both"/>
              <w:rPr>
                <w:rFonts w:hint="default" w:ascii="Times New Roman" w:hAnsi="Times New Roman" w:cs="Times New Roman"/>
                <w:sz w:val="36"/>
                <w:szCs w:val="36"/>
              </w:rPr>
            </w:pPr>
            <w:r>
              <w:rPr>
                <w:rFonts w:hint="default" w:ascii="Times New Roman" w:hAnsi="Times New Roman" w:cs="Times New Roman"/>
                <w:szCs w:val="21"/>
              </w:rPr>
              <w:t>□ 10. 1</w:t>
            </w:r>
            <w:r>
              <w:rPr>
                <w:rFonts w:hint="default" w:ascii="Times New Roman" w:hAnsi="Times New Roman" w:cs="Times New Roman"/>
                <w:szCs w:val="21"/>
                <w:lang w:val="en-US" w:eastAsia="zh-CN"/>
              </w:rPr>
              <w:t>除巴宜区外</w:t>
            </w:r>
            <w:r>
              <w:rPr>
                <w:rFonts w:hint="eastAsia" w:cs="Times New Roman"/>
                <w:szCs w:val="21"/>
                <w:lang w:val="en-US" w:eastAsia="zh-CN"/>
              </w:rPr>
              <w:t>，其余各县辖区内的</w:t>
            </w:r>
            <w:r>
              <w:rPr>
                <w:rFonts w:hint="default" w:ascii="Times New Roman" w:hAnsi="Times New Roman" w:cs="Times New Roman"/>
                <w:szCs w:val="21"/>
              </w:rPr>
              <w:t>自治区以上科研单位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restart"/>
            <w:noWrap w:val="0"/>
            <w:vAlign w:val="top"/>
          </w:tcPr>
          <w:p>
            <w:pPr>
              <w:rPr>
                <w:rFonts w:hint="default" w:ascii="Times New Roman" w:hAnsi="Times New Roman" w:cs="Times New Roman"/>
                <w:szCs w:val="21"/>
              </w:rPr>
            </w:pPr>
          </w:p>
          <w:p>
            <w:pPr>
              <w:rPr>
                <w:rFonts w:hint="default" w:ascii="Times New Roman" w:hAnsi="Times New Roman" w:cs="Times New Roman"/>
                <w:sz w:val="36"/>
                <w:szCs w:val="36"/>
              </w:rPr>
            </w:pPr>
            <w:r>
              <w:rPr>
                <w:rFonts w:hint="default" w:ascii="Times New Roman" w:hAnsi="Times New Roman" w:cs="Times New Roman"/>
                <w:szCs w:val="21"/>
              </w:rPr>
              <w:t>□ 11、高层公共建筑、物资仓库和堆场</w:t>
            </w: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11. 1</w:t>
            </w:r>
            <w:r>
              <w:rPr>
                <w:rFonts w:hint="eastAsia" w:cs="Times New Roman"/>
                <w:szCs w:val="21"/>
                <w:lang w:eastAsia="zh-CN"/>
              </w:rPr>
              <w:t>二类</w:t>
            </w:r>
            <w:r>
              <w:rPr>
                <w:rFonts w:hint="default" w:ascii="Times New Roman" w:hAnsi="Times New Roman" w:cs="Times New Roman"/>
                <w:szCs w:val="21"/>
              </w:rPr>
              <w:t>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11. 2</w:t>
            </w:r>
            <w:r>
              <w:rPr>
                <w:rFonts w:hint="default" w:ascii="Times New Roman" w:hAnsi="Times New Roman" w:cs="Times New Roman"/>
                <w:szCs w:val="21"/>
                <w:lang w:val="en-US" w:eastAsia="zh-CN"/>
              </w:rPr>
              <w:t>总储备量在3000吨以上、6000吨以下的粮库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11. 3</w:t>
            </w:r>
            <w:r>
              <w:rPr>
                <w:rFonts w:hint="default" w:ascii="Times New Roman" w:hAnsi="Times New Roman" w:cs="Times New Roman"/>
                <w:szCs w:val="21"/>
                <w:lang w:val="en-US" w:eastAsia="zh-CN"/>
              </w:rPr>
              <w:t>总储量在5000立方米以上、10000立方米以下的木材堆场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xml:space="preserve">□ 11. </w:t>
            </w:r>
            <w:r>
              <w:rPr>
                <w:rFonts w:hint="default" w:ascii="Times New Roman" w:hAnsi="Times New Roman" w:cs="Times New Roman"/>
                <w:szCs w:val="21"/>
                <w:lang w:val="en-US" w:eastAsia="zh-CN"/>
              </w:rPr>
              <w:t>4总储存价值在2000万元以上、4000万元以下的可燃物品仓库、堆场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 xml:space="preserve">□ 11. </w:t>
            </w:r>
            <w:r>
              <w:rPr>
                <w:rFonts w:hint="default" w:ascii="Times New Roman" w:hAnsi="Times New Roman" w:cs="Times New Roman"/>
                <w:szCs w:val="21"/>
                <w:lang w:val="en-US" w:eastAsia="zh-CN"/>
              </w:rPr>
              <w:t>5 占地面积3000平方米以上、6000平方米以下，以及建筑面积在1000平方米以上、2000平方米以下的物流仓储场所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restart"/>
            <w:noWrap w:val="0"/>
            <w:vAlign w:val="top"/>
          </w:tcPr>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 w:val="36"/>
                <w:szCs w:val="36"/>
              </w:rPr>
            </w:pPr>
            <w:r>
              <w:rPr>
                <w:rFonts w:hint="default" w:ascii="Times New Roman" w:hAnsi="Times New Roman" w:cs="Times New Roman"/>
                <w:szCs w:val="21"/>
              </w:rPr>
              <w:t>□ 12、其他发生火灾可能性较大以及一旦发生火灾可能造成人身重大伤亡或者财产重大损失的单位</w:t>
            </w: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12. 1车位在200辆以上</w:t>
            </w:r>
            <w:r>
              <w:rPr>
                <w:rFonts w:hint="eastAsia" w:cs="Times New Roman"/>
                <w:szCs w:val="21"/>
                <w:lang w:eastAsia="zh-CN"/>
              </w:rPr>
              <w:t>、</w:t>
            </w:r>
            <w:r>
              <w:rPr>
                <w:rFonts w:hint="eastAsia" w:cs="Times New Roman"/>
                <w:szCs w:val="21"/>
                <w:lang w:val="en-US" w:eastAsia="zh-CN"/>
              </w:rPr>
              <w:t>300辆以下</w:t>
            </w:r>
            <w:r>
              <w:rPr>
                <w:rFonts w:hint="default" w:ascii="Times New Roman" w:hAnsi="Times New Roman" w:cs="Times New Roman"/>
                <w:szCs w:val="21"/>
              </w:rPr>
              <w:t>的汽车库，车位在200辆以上</w:t>
            </w:r>
            <w:r>
              <w:rPr>
                <w:rFonts w:hint="eastAsia" w:cs="Times New Roman"/>
                <w:szCs w:val="21"/>
                <w:lang w:eastAsia="zh-CN"/>
              </w:rPr>
              <w:t>、</w:t>
            </w:r>
            <w:r>
              <w:rPr>
                <w:rFonts w:hint="eastAsia" w:cs="Times New Roman"/>
                <w:szCs w:val="21"/>
                <w:lang w:val="en-US" w:eastAsia="zh-CN"/>
              </w:rPr>
              <w:t>300辆以下</w:t>
            </w:r>
            <w:r>
              <w:rPr>
                <w:rFonts w:hint="default" w:ascii="Times New Roman" w:hAnsi="Times New Roman" w:cs="Times New Roman"/>
                <w:szCs w:val="21"/>
              </w:rPr>
              <w:t>的停车场和车位在15个以上</w:t>
            </w:r>
            <w:r>
              <w:rPr>
                <w:rFonts w:hint="default" w:ascii="Times New Roman" w:hAnsi="Times New Roman" w:cs="Times New Roman"/>
                <w:szCs w:val="21"/>
                <w:lang w:val="en-US" w:eastAsia="zh-CN"/>
              </w:rPr>
              <w:t>、30个以下</w:t>
            </w:r>
            <w:r>
              <w:rPr>
                <w:rFonts w:hint="default" w:ascii="Times New Roman" w:hAnsi="Times New Roman" w:cs="Times New Roman"/>
                <w:szCs w:val="21"/>
              </w:rPr>
              <w:t>的修车库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12. 2营业（交易）厅面积在500平方米以上</w:t>
            </w:r>
            <w:r>
              <w:rPr>
                <w:rFonts w:hint="default" w:ascii="Times New Roman" w:hAnsi="Times New Roman" w:cs="Times New Roman"/>
                <w:szCs w:val="21"/>
                <w:lang w:val="en-US" w:eastAsia="zh-CN"/>
              </w:rPr>
              <w:t>、2500平方米以下</w:t>
            </w:r>
            <w:r>
              <w:rPr>
                <w:rFonts w:hint="default" w:ascii="Times New Roman" w:hAnsi="Times New Roman" w:cs="Times New Roman"/>
                <w:szCs w:val="21"/>
              </w:rPr>
              <w:t>的银行、证券交易所、金融、电信营业部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12. 3自治区级</w:t>
            </w:r>
            <w:r>
              <w:rPr>
                <w:rFonts w:hint="eastAsia" w:cs="Times New Roman"/>
                <w:szCs w:val="21"/>
                <w:lang w:eastAsia="zh-CN"/>
              </w:rPr>
              <w:t>以上</w:t>
            </w:r>
            <w:r>
              <w:rPr>
                <w:rFonts w:hint="default" w:ascii="Times New Roman" w:hAnsi="Times New Roman" w:cs="Times New Roman"/>
                <w:szCs w:val="21"/>
              </w:rPr>
              <w:t>人文旅游景区（点）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12. 4监狱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12. </w:t>
            </w:r>
            <w:r>
              <w:rPr>
                <w:rFonts w:hint="default" w:ascii="Times New Roman" w:hAnsi="Times New Roman" w:cs="Times New Roman"/>
                <w:szCs w:val="21"/>
                <w:lang w:val="en-US" w:eastAsia="zh-CN"/>
              </w:rPr>
              <w:t>5</w:t>
            </w:r>
            <w:r>
              <w:rPr>
                <w:rFonts w:hint="default" w:ascii="Times New Roman" w:hAnsi="Times New Roman" w:cs="Times New Roman"/>
                <w:szCs w:val="21"/>
              </w:rPr>
              <w:t>其他具有较大火灾危险性或发生火灾后可能造成重大危害的单位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0260" w:type="dxa"/>
            <w:gridSpan w:val="12"/>
            <w:noWrap w:val="0"/>
            <w:vAlign w:val="top"/>
          </w:tcPr>
          <w:p>
            <w:pPr>
              <w:ind w:firstLine="420" w:firstLineChars="200"/>
              <w:rPr>
                <w:rFonts w:hint="default" w:ascii="Times New Roman" w:hAnsi="Times New Roman" w:cs="Times New Roman"/>
                <w:szCs w:val="21"/>
              </w:rPr>
            </w:pPr>
            <w:r>
              <w:rPr>
                <w:rFonts w:hint="default" w:ascii="Times New Roman" w:hAnsi="Times New Roman" w:cs="Times New Roman"/>
                <w:szCs w:val="21"/>
              </w:rPr>
              <w:t>根据《机关、团体、企业、事业单位消防安全管理规定》和《</w:t>
            </w:r>
            <w:r>
              <w:rPr>
                <w:rFonts w:hint="eastAsia" w:cs="Times New Roman"/>
                <w:szCs w:val="21"/>
                <w:lang w:eastAsia="zh-CN"/>
              </w:rPr>
              <w:t>林芝市</w:t>
            </w:r>
            <w:r>
              <w:rPr>
                <w:rFonts w:hint="default" w:ascii="Times New Roman" w:hAnsi="Times New Roman" w:cs="Times New Roman"/>
                <w:szCs w:val="21"/>
              </w:rPr>
              <w:t>消防安全重点单位界定标准》，</w:t>
            </w:r>
            <w:r>
              <w:rPr>
                <w:rFonts w:hint="default" w:ascii="Times New Roman" w:hAnsi="Times New Roman" w:cs="Times New Roman"/>
                <w:szCs w:val="21"/>
                <w:lang w:val="en-US" w:eastAsia="zh-CN"/>
              </w:rPr>
              <w:t>我</w:t>
            </w:r>
            <w:r>
              <w:rPr>
                <w:rFonts w:hint="default" w:ascii="Times New Roman" w:hAnsi="Times New Roman" w:cs="Times New Roman"/>
                <w:szCs w:val="21"/>
              </w:rPr>
              <w:t>单位应属消防安全重点单位，现予以登记。</w:t>
            </w:r>
          </w:p>
          <w:p>
            <w:pPr>
              <w:ind w:firstLine="420" w:firstLineChars="200"/>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ind w:firstLine="3045" w:firstLineChars="1450"/>
              <w:rPr>
                <w:rFonts w:hint="default" w:ascii="Times New Roman" w:hAnsi="Times New Roman" w:cs="Times New Roman"/>
                <w:szCs w:val="21"/>
              </w:rPr>
            </w:pPr>
            <w:r>
              <w:rPr>
                <w:rFonts w:hint="default" w:ascii="Times New Roman" w:hAnsi="Times New Roman" w:cs="Times New Roman"/>
                <w:szCs w:val="21"/>
              </w:rPr>
              <w:t>法定代表人或主要负责人（签名）</w:t>
            </w: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r>
              <w:rPr>
                <w:rFonts w:hint="default" w:ascii="Times New Roman" w:hAnsi="Times New Roman" w:cs="Times New Roman"/>
                <w:szCs w:val="21"/>
              </w:rPr>
              <w:t>单位（盖章）</w:t>
            </w: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 w:val="36"/>
                <w:szCs w:val="36"/>
              </w:rPr>
              <w:t xml:space="preserve">                                  </w:t>
            </w:r>
            <w:r>
              <w:rPr>
                <w:rFonts w:hint="default" w:ascii="Times New Roman" w:hAnsi="Times New Roman" w:cs="Times New Roman"/>
                <w:szCs w:val="21"/>
              </w:rPr>
              <w:t xml:space="preserve"> 年         月        日</w:t>
            </w:r>
          </w:p>
          <w:p>
            <w:pPr>
              <w:rPr>
                <w:rFonts w:hint="default" w:ascii="Times New Roman" w:hAnsi="Times New Roman" w:cs="Times New Roman"/>
                <w:szCs w:val="21"/>
              </w:rPr>
            </w:pPr>
          </w:p>
        </w:tc>
      </w:tr>
    </w:tbl>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注：①此表由符合分类标准且具有独立法人或独立经营资格的单位填报。</w:t>
      </w:r>
    </w:p>
    <w:p>
      <w:pPr>
        <w:ind w:firstLine="435"/>
        <w:rPr>
          <w:rFonts w:hint="default" w:ascii="Times New Roman" w:hAnsi="Times New Roman" w:cs="Times New Roman"/>
        </w:rPr>
      </w:pPr>
      <w:r>
        <w:rPr>
          <w:rFonts w:hint="default" w:ascii="Times New Roman" w:hAnsi="Times New Roman" w:cs="Times New Roman"/>
          <w:szCs w:val="21"/>
        </w:rPr>
        <w:t>②申报单位在主类栏中选择最</w:t>
      </w:r>
      <w:r>
        <w:rPr>
          <w:rFonts w:hint="eastAsia" w:cs="Times New Roman"/>
          <w:szCs w:val="21"/>
          <w:lang w:eastAsia="zh-CN"/>
        </w:rPr>
        <w:t>合适</w:t>
      </w:r>
      <w:r>
        <w:rPr>
          <w:rFonts w:hint="default" w:ascii="Times New Roman" w:hAnsi="Times New Roman" w:cs="Times New Roman"/>
          <w:szCs w:val="21"/>
        </w:rPr>
        <w:t>的一项打“√”在分类栏中所有涉及项均打“√”。</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sz w:val="32"/>
          <w:szCs w:val="32"/>
        </w:rPr>
      </w:pPr>
    </w:p>
    <w:p>
      <w:pPr>
        <w:rPr>
          <w:rFonts w:hint="default" w:ascii="Times New Roman" w:hAnsi="Times New Roman" w:cs="Times New Roman"/>
        </w:rPr>
      </w:pP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zc3MzE1MmRlYTg0MzA4OTk5YzZhNjk2ZmM5NDQifQ=="/>
  </w:docVars>
  <w:rsids>
    <w:rsidRoot w:val="34D32401"/>
    <w:rsid w:val="01205D5C"/>
    <w:rsid w:val="067D77AC"/>
    <w:rsid w:val="0CF321AE"/>
    <w:rsid w:val="19DA66E9"/>
    <w:rsid w:val="1BCA6B98"/>
    <w:rsid w:val="1D686669"/>
    <w:rsid w:val="220646A2"/>
    <w:rsid w:val="274A5031"/>
    <w:rsid w:val="2D9A3317"/>
    <w:rsid w:val="2F3A3D3C"/>
    <w:rsid w:val="30AB18D8"/>
    <w:rsid w:val="33BE18E5"/>
    <w:rsid w:val="34D32401"/>
    <w:rsid w:val="442F125C"/>
    <w:rsid w:val="45763769"/>
    <w:rsid w:val="48052B82"/>
    <w:rsid w:val="49AA39E1"/>
    <w:rsid w:val="522602C5"/>
    <w:rsid w:val="556C4241"/>
    <w:rsid w:val="585039A6"/>
    <w:rsid w:val="59C208D3"/>
    <w:rsid w:val="5A020A23"/>
    <w:rsid w:val="63F95441"/>
    <w:rsid w:val="67CA3001"/>
    <w:rsid w:val="6A640639"/>
    <w:rsid w:val="6B312C2A"/>
    <w:rsid w:val="6B361121"/>
    <w:rsid w:val="79644B09"/>
    <w:rsid w:val="7CAD2C5F"/>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2024-01-11T11:15:00Z</dcterms:created>
  <dc:creator>综合指导处</dc:creator>
  <cp:lastModifiedBy>请叫我蛋蛋君</cp:lastModifiedBy>
  <dcterms:modified xsi:type="dcterms:W3CDTF">2024-01-16T10:15:38Z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FA4261085D8D4EA6904F2517CB8F6BD8_11</vt:lpwstr>
  </property>
</Properties>
</file>